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14" w:rsidRPr="00761C14" w:rsidRDefault="00761C14" w:rsidP="00761C14">
      <w:pPr>
        <w:spacing w:line="255" w:lineRule="atLeast"/>
        <w:rPr>
          <w:rFonts w:ascii="Georgia" w:eastAsia="Times New Roman" w:hAnsi="Georgia" w:cs="Times New Roman"/>
          <w:i/>
          <w:iCs/>
          <w:color w:val="60808B"/>
          <w:sz w:val="26"/>
          <w:szCs w:val="26"/>
        </w:rPr>
      </w:pPr>
      <w:r w:rsidRPr="00761C14">
        <w:rPr>
          <w:rFonts w:ascii="Georgia" w:eastAsia="Times New Roman" w:hAnsi="Georgia" w:cs="Times New Roman"/>
          <w:i/>
          <w:iCs/>
          <w:color w:val="60808B"/>
          <w:sz w:val="26"/>
          <w:szCs w:val="26"/>
        </w:rPr>
        <w:t xml:space="preserve">Grade 12 </w:t>
      </w:r>
      <w:r w:rsidRPr="00761C14">
        <w:rPr>
          <w:rFonts w:ascii="Times New Roman" w:eastAsia="Times New Roman" w:hAnsi="Times New Roman" w:cs="Times New Roman"/>
          <w:color w:val="AFBFC5"/>
          <w:sz w:val="15"/>
          <w:szCs w:val="15"/>
        </w:rPr>
        <w:t>►</w:t>
      </w:r>
      <w:r w:rsidRPr="00761C14">
        <w:rPr>
          <w:rFonts w:ascii="Georgia" w:eastAsia="Times New Roman" w:hAnsi="Georgia" w:cs="Times New Roman"/>
          <w:i/>
          <w:iCs/>
          <w:color w:val="60808B"/>
          <w:sz w:val="26"/>
          <w:szCs w:val="26"/>
        </w:rPr>
        <w:t xml:space="preserve"> Unit 6</w:t>
      </w:r>
    </w:p>
    <w:p w:rsidR="00761C14" w:rsidRPr="00761C14" w:rsidRDefault="00761C14" w:rsidP="00761C14">
      <w:pPr>
        <w:spacing w:after="120" w:line="570" w:lineRule="atLeast"/>
        <w:outlineLvl w:val="0"/>
        <w:rPr>
          <w:rFonts w:ascii="Georgia" w:eastAsia="Times New Roman" w:hAnsi="Georgia" w:cs="Times New Roman"/>
          <w:b/>
          <w:bCs/>
          <w:color w:val="571C1F"/>
          <w:kern w:val="36"/>
          <w:sz w:val="51"/>
          <w:szCs w:val="51"/>
        </w:rPr>
      </w:pPr>
      <w:r w:rsidRPr="00761C14">
        <w:rPr>
          <w:rFonts w:ascii="Georgia" w:eastAsia="Times New Roman" w:hAnsi="Georgia" w:cs="Times New Roman"/>
          <w:b/>
          <w:bCs/>
          <w:color w:val="571C1F"/>
          <w:kern w:val="36"/>
          <w:sz w:val="51"/>
          <w:szCs w:val="51"/>
        </w:rPr>
        <w:t>European Literature: Twentieth Century</w:t>
      </w:r>
    </w:p>
    <w:p w:rsidR="00761C14" w:rsidRPr="00761C14" w:rsidRDefault="00761C14" w:rsidP="00761C14">
      <w:pPr>
        <w:spacing w:after="330" w:line="345" w:lineRule="atLeast"/>
        <w:outlineLvl w:val="1"/>
        <w:rPr>
          <w:rFonts w:ascii="Georgia" w:eastAsia="Times New Roman" w:hAnsi="Georgia" w:cs="Times New Roman"/>
          <w:b/>
          <w:bCs/>
          <w:color w:val="A99F86"/>
          <w:sz w:val="29"/>
          <w:szCs w:val="29"/>
        </w:rPr>
      </w:pPr>
      <w:r w:rsidRPr="00761C14">
        <w:rPr>
          <w:rFonts w:ascii="Georgia" w:eastAsia="Times New Roman" w:hAnsi="Georgia" w:cs="Times New Roman"/>
          <w:b/>
          <w:bCs/>
          <w:color w:val="A99F86"/>
          <w:sz w:val="29"/>
          <w:szCs w:val="29"/>
        </w:rPr>
        <w:t>Using Auden’s term “Age of Anxiety” as a focal idea, students consider both the breakdown and affirmation of meaning in twentieth-century literature in this final six-week unit.</w:t>
      </w: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7"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8"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Overview</w:t>
      </w:r>
    </w:p>
    <w:p w:rsidR="00761C14" w:rsidRPr="00761C14" w:rsidRDefault="00761C14" w:rsidP="00761C14">
      <w:pPr>
        <w:numPr>
          <w:ilvl w:val="1"/>
          <w:numId w:val="1"/>
        </w:numPr>
        <w:spacing w:after="120" w:line="255" w:lineRule="atLeast"/>
        <w:ind w:left="3180"/>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Through the close reading of “dystopian” works such as </w:t>
      </w:r>
      <w:r w:rsidRPr="00761C14">
        <w:rPr>
          <w:rFonts w:ascii="Verdana" w:eastAsia="Times New Roman" w:hAnsi="Verdana" w:cs="Times New Roman"/>
          <w:i/>
          <w:iCs/>
          <w:color w:val="595959"/>
          <w:sz w:val="17"/>
          <w:szCs w:val="17"/>
        </w:rPr>
        <w:t>Pygmalion</w:t>
      </w:r>
      <w:r w:rsidRPr="00761C14">
        <w:rPr>
          <w:rFonts w:ascii="Verdana" w:eastAsia="Times New Roman" w:hAnsi="Verdana" w:cs="Times New Roman"/>
          <w:color w:val="595959"/>
          <w:sz w:val="17"/>
          <w:szCs w:val="17"/>
        </w:rPr>
        <w:t xml:space="preserve">, </w:t>
      </w:r>
      <w:r w:rsidRPr="00761C14">
        <w:rPr>
          <w:rFonts w:ascii="Verdana" w:eastAsia="Times New Roman" w:hAnsi="Verdana" w:cs="Times New Roman"/>
          <w:i/>
          <w:iCs/>
          <w:color w:val="595959"/>
          <w:sz w:val="17"/>
          <w:szCs w:val="17"/>
        </w:rPr>
        <w:t>1984</w:t>
      </w:r>
      <w:r w:rsidRPr="00761C14">
        <w:rPr>
          <w:rFonts w:ascii="Verdana" w:eastAsia="Times New Roman" w:hAnsi="Verdana" w:cs="Times New Roman"/>
          <w:color w:val="595959"/>
          <w:sz w:val="17"/>
          <w:szCs w:val="17"/>
        </w:rPr>
        <w:t xml:space="preserve">, and </w:t>
      </w:r>
      <w:r w:rsidRPr="00761C14">
        <w:rPr>
          <w:rFonts w:ascii="Verdana" w:eastAsia="Times New Roman" w:hAnsi="Verdana" w:cs="Times New Roman"/>
          <w:i/>
          <w:iCs/>
          <w:color w:val="595959"/>
          <w:sz w:val="17"/>
          <w:szCs w:val="17"/>
        </w:rPr>
        <w:t>Rhinoceros</w:t>
      </w:r>
      <w:r w:rsidRPr="00761C14">
        <w:rPr>
          <w:rFonts w:ascii="Verdana" w:eastAsia="Times New Roman" w:hAnsi="Verdana" w:cs="Times New Roman"/>
          <w:color w:val="595959"/>
          <w:sz w:val="17"/>
          <w:szCs w:val="17"/>
        </w:rPr>
        <w:t xml:space="preserve">, students consider the problems inherent in fashioning a perfect society or perfect individual. At the same time, they also consider how authors of the twentieth century affirm the possibility of beauty and meaning—for instance, in Eliot’s </w:t>
      </w:r>
      <w:r w:rsidRPr="00761C14">
        <w:rPr>
          <w:rFonts w:ascii="Verdana" w:eastAsia="Times New Roman" w:hAnsi="Verdana" w:cs="Times New Roman"/>
          <w:i/>
          <w:iCs/>
          <w:color w:val="595959"/>
          <w:sz w:val="17"/>
          <w:szCs w:val="17"/>
        </w:rPr>
        <w:t>Four Quartets</w:t>
      </w:r>
      <w:r w:rsidRPr="00761C14">
        <w:rPr>
          <w:rFonts w:ascii="Verdana" w:eastAsia="Times New Roman" w:hAnsi="Verdana" w:cs="Times New Roman"/>
          <w:color w:val="595959"/>
          <w:sz w:val="17"/>
          <w:szCs w:val="17"/>
        </w:rPr>
        <w:t xml:space="preserve">, Federico García Lorca’s </w:t>
      </w:r>
      <w:r w:rsidRPr="00761C14">
        <w:rPr>
          <w:rFonts w:ascii="Verdana" w:eastAsia="Times New Roman" w:hAnsi="Verdana" w:cs="Times New Roman"/>
          <w:i/>
          <w:iCs/>
          <w:color w:val="595959"/>
          <w:sz w:val="17"/>
          <w:szCs w:val="17"/>
        </w:rPr>
        <w:t>Poem of the Deep Song</w:t>
      </w:r>
      <w:r w:rsidRPr="00761C14">
        <w:rPr>
          <w:rFonts w:ascii="Verdana" w:eastAsia="Times New Roman" w:hAnsi="Verdana" w:cs="Times New Roman"/>
          <w:color w:val="595959"/>
          <w:sz w:val="17"/>
          <w:szCs w:val="17"/>
        </w:rPr>
        <w:t xml:space="preserve">, or Thomas Hardy’s “The Darkling Thrush.” To gain a deeper appreciation of the role of beauty in twentieth-century literature, they appraise connections between poetry and music: for instance, the relation of Eliot’s </w:t>
      </w:r>
      <w:r w:rsidRPr="00761C14">
        <w:rPr>
          <w:rFonts w:ascii="Verdana" w:eastAsia="Times New Roman" w:hAnsi="Verdana" w:cs="Times New Roman"/>
          <w:i/>
          <w:iCs/>
          <w:color w:val="595959"/>
          <w:sz w:val="17"/>
          <w:szCs w:val="17"/>
        </w:rPr>
        <w:t>Four Quartets</w:t>
      </w:r>
      <w:r w:rsidRPr="00761C14">
        <w:rPr>
          <w:rFonts w:ascii="Verdana" w:eastAsia="Times New Roman" w:hAnsi="Verdana" w:cs="Times New Roman"/>
          <w:color w:val="595959"/>
          <w:sz w:val="17"/>
          <w:szCs w:val="17"/>
        </w:rPr>
        <w:t xml:space="preserve"> to a Beethoven quartet, and the relation of Federico García Lorca’s poetry to the rhythms of flamenco music. Examining how authors rework classical stories and themes (e.g., in Anouilh’s </w:t>
      </w:r>
      <w:r w:rsidRPr="00761C14">
        <w:rPr>
          <w:rFonts w:ascii="Verdana" w:eastAsia="Times New Roman" w:hAnsi="Verdana" w:cs="Times New Roman"/>
          <w:i/>
          <w:iCs/>
          <w:color w:val="595959"/>
          <w:sz w:val="17"/>
          <w:szCs w:val="17"/>
        </w:rPr>
        <w:t xml:space="preserve">Antigone </w:t>
      </w:r>
      <w:r w:rsidRPr="00761C14">
        <w:rPr>
          <w:rFonts w:ascii="Verdana" w:eastAsia="Times New Roman" w:hAnsi="Verdana" w:cs="Times New Roman"/>
          <w:color w:val="595959"/>
          <w:sz w:val="17"/>
          <w:szCs w:val="17"/>
        </w:rPr>
        <w:t xml:space="preserve">or Camus’ </w:t>
      </w:r>
      <w:r w:rsidRPr="00761C14">
        <w:rPr>
          <w:rFonts w:ascii="Verdana" w:eastAsia="Times New Roman" w:hAnsi="Verdana" w:cs="Times New Roman"/>
          <w:i/>
          <w:iCs/>
          <w:color w:val="595959"/>
          <w:sz w:val="17"/>
          <w:szCs w:val="17"/>
        </w:rPr>
        <w:t>Caligula</w:t>
      </w:r>
      <w:r w:rsidRPr="00761C14">
        <w:rPr>
          <w:rFonts w:ascii="Verdana" w:eastAsia="Times New Roman" w:hAnsi="Verdana" w:cs="Times New Roman"/>
          <w:color w:val="595959"/>
          <w:sz w:val="17"/>
          <w:szCs w:val="17"/>
        </w:rPr>
        <w:t>), students ponder how historical context affects an enduring story or theme. Students complete research papers in which they consult literary criticism and historical materials. They engage in discussions resembling college seminars, where they pursue focused questions in depth over the course of one or two class sessions. At the close of the unit, students have the opportunity to research the literature they have read over the course of the year and the concepts they have studied.</w:t>
      </w:r>
    </w:p>
    <w:p w:rsidR="00761C14" w:rsidRPr="00761C14" w:rsidRDefault="00761C14" w:rsidP="00761C14">
      <w:pPr>
        <w:numPr>
          <w:ilvl w:val="0"/>
          <w:numId w:val="1"/>
        </w:numPr>
        <w:spacing w:after="45" w:line="270" w:lineRule="atLeast"/>
        <w:ind w:left="3180"/>
        <w:textAlignment w:val="top"/>
        <w:rPr>
          <w:rFonts w:ascii="Georgia" w:eastAsia="Times New Roman" w:hAnsi="Georgia" w:cs="Times New Roman"/>
          <w:color w:val="595959"/>
          <w:sz w:val="21"/>
          <w:szCs w:val="21"/>
        </w:rPr>
      </w:pP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10"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11"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Focus Standards</w:t>
      </w:r>
    </w:p>
    <w:p w:rsidR="00761C14" w:rsidRPr="00761C14" w:rsidRDefault="00761C14" w:rsidP="00761C14">
      <w:pPr>
        <w:numPr>
          <w:ilvl w:val="1"/>
          <w:numId w:val="1"/>
        </w:numPr>
        <w:spacing w:before="75" w:line="255" w:lineRule="atLeast"/>
        <w:ind w:left="3180"/>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These Focus Standards have been selected for the unit from the Common Core State Standards.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 xml:space="preserve">RL.11-12.3: </w:t>
      </w:r>
      <w:r w:rsidRPr="00761C14">
        <w:rPr>
          <w:rFonts w:ascii="Verdana" w:eastAsia="Times New Roman" w:hAnsi="Verdana" w:cs="Times New Roman"/>
          <w:color w:val="595959"/>
          <w:sz w:val="17"/>
          <w:szCs w:val="17"/>
        </w:rPr>
        <w:t>Analyze the impact of the author’s choices regarding how to develop and relate elements of a story or drama (e.g., where a story is set, how the action is ordered, how the characters are introduced and developed).</w:t>
      </w:r>
      <w:r w:rsidRPr="00761C14">
        <w:rPr>
          <w:rFonts w:ascii="Verdana" w:eastAsia="Times New Roman" w:hAnsi="Verdana" w:cs="Times New Roman"/>
          <w:color w:val="595959"/>
          <w:sz w:val="17"/>
          <w:szCs w:val="17"/>
        </w:rPr>
        <w:br/>
      </w:r>
      <w:r w:rsidRPr="00761C14">
        <w:rPr>
          <w:rFonts w:ascii="Verdana" w:eastAsia="Times New Roman" w:hAnsi="Verdana" w:cs="Times New Roman"/>
          <w:b/>
          <w:bCs/>
          <w:color w:val="595959"/>
          <w:sz w:val="17"/>
          <w:szCs w:val="17"/>
        </w:rPr>
        <w:t xml:space="preserve">RL.11-12.6: </w:t>
      </w:r>
      <w:r w:rsidRPr="00761C14">
        <w:rPr>
          <w:rFonts w:ascii="Verdana" w:eastAsia="Times New Roman" w:hAnsi="Verdana" w:cs="Times New Roman"/>
          <w:color w:val="595959"/>
          <w:sz w:val="17"/>
          <w:szCs w:val="17"/>
        </w:rPr>
        <w:t>Analyze a case in which grasping point of view requires distinguishing what is directly stated in a text from what is really meant (e.g., satire, sarcasm, irony, or understatement).</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 xml:space="preserve">RL.11-12.10: </w:t>
      </w:r>
      <w:r w:rsidRPr="00761C14">
        <w:rPr>
          <w:rFonts w:ascii="Verdana" w:eastAsia="Times New Roman" w:hAnsi="Verdana" w:cs="Times New Roman"/>
          <w:color w:val="595959"/>
          <w:sz w:val="17"/>
          <w:szCs w:val="17"/>
        </w:rPr>
        <w:t xml:space="preserve">By the end of grade 12, read and comprehend literature, including stories, dramas, and poems, at the high end of </w:t>
      </w:r>
      <w:r w:rsidRPr="00761C14">
        <w:rPr>
          <w:rFonts w:ascii="Verdana" w:eastAsia="Times New Roman" w:hAnsi="Verdana" w:cs="Times New Roman"/>
          <w:color w:val="595959"/>
          <w:sz w:val="17"/>
          <w:szCs w:val="17"/>
        </w:rPr>
        <w:lastRenderedPageBreak/>
        <w:t>the grades 11–CCR text complexity band independently and proficiently.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 xml:space="preserve">RI.11-12.5: </w:t>
      </w:r>
      <w:r w:rsidRPr="00761C14">
        <w:rPr>
          <w:rFonts w:ascii="Verdana" w:eastAsia="Times New Roman" w:hAnsi="Verdana" w:cs="Times New Roman"/>
          <w:color w:val="595959"/>
          <w:sz w:val="17"/>
          <w:szCs w:val="17"/>
        </w:rPr>
        <w:t>Analyze and evaluate the effectiveness of the structure an author uses in his or her exposition or argument, including whether the structure makes points clear, convincing, and engaging.</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W.11-12.7: </w:t>
      </w:r>
      <w:r w:rsidRPr="00761C14">
        <w:rPr>
          <w:rFonts w:ascii="Verdana" w:eastAsia="Times New Roman" w:hAnsi="Verdana" w:cs="Times New Roman"/>
          <w:color w:val="595959"/>
          <w:sz w:val="17"/>
          <w:szCs w:val="17"/>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 xml:space="preserve">W.11-12.8: </w:t>
      </w:r>
      <w:r w:rsidRPr="00761C14">
        <w:rPr>
          <w:rFonts w:ascii="Verdana" w:eastAsia="Times New Roman" w:hAnsi="Verdana" w:cs="Times New Roman"/>
          <w:color w:val="595959"/>
          <w:sz w:val="17"/>
          <w:szCs w:val="17"/>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SL.11-12.1(a-d): </w:t>
      </w:r>
      <w:r w:rsidRPr="00761C14">
        <w:rPr>
          <w:rFonts w:ascii="Verdana" w:eastAsia="Times New Roman" w:hAnsi="Verdana" w:cs="Times New Roman"/>
          <w:color w:val="595959"/>
          <w:sz w:val="17"/>
          <w:szCs w:val="17"/>
        </w:rPr>
        <w:t xml:space="preserve">Initiate and participate effectively in a range of collaborative discussions (one-on-one, in groups, and teacher-led) with diverse partners on </w:t>
      </w:r>
      <w:r w:rsidRPr="00761C14">
        <w:rPr>
          <w:rFonts w:ascii="Verdana" w:eastAsia="Times New Roman" w:hAnsi="Verdana" w:cs="Times New Roman"/>
          <w:i/>
          <w:iCs/>
          <w:color w:val="595959"/>
          <w:sz w:val="17"/>
          <w:szCs w:val="17"/>
        </w:rPr>
        <w:t xml:space="preserve">grades 11–12 topics, texts, and issues, </w:t>
      </w:r>
      <w:r w:rsidRPr="00761C14">
        <w:rPr>
          <w:rFonts w:ascii="Verdana" w:eastAsia="Times New Roman" w:hAnsi="Verdana" w:cs="Times New Roman"/>
          <w:color w:val="595959"/>
          <w:sz w:val="17"/>
          <w:szCs w:val="17"/>
        </w:rPr>
        <w:t>building on others’ ideas and expressing their own clearly and persuasively.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L.11-12.6: </w:t>
      </w:r>
      <w:r w:rsidRPr="00761C14">
        <w:rPr>
          <w:rFonts w:ascii="Verdana" w:eastAsia="Times New Roman" w:hAnsi="Verdana" w:cs="Times New Roman"/>
          <w:color w:val="595959"/>
          <w:sz w:val="17"/>
          <w:szCs w:val="17"/>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rsidR="00761C14" w:rsidRPr="00761C14" w:rsidRDefault="00761C14" w:rsidP="00761C14">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761C14">
          <w:rPr>
            <w:rFonts w:ascii="Verdana" w:eastAsia="Times New Roman" w:hAnsi="Verdana" w:cs="Times New Roman"/>
            <w:color w:val="000000"/>
            <w:sz w:val="17"/>
            <w:szCs w:val="17"/>
            <w:u w:val="single"/>
          </w:rPr>
          <w:t>Common Core State Standards, ELA</w:t>
        </w:r>
      </w:hyperlink>
      <w:r w:rsidRPr="00761C14">
        <w:rPr>
          <w:rFonts w:ascii="Verdana" w:eastAsia="Times New Roman" w:hAnsi="Verdana" w:cs="Times New Roman"/>
          <w:color w:val="595959"/>
          <w:sz w:val="17"/>
          <w:szCs w:val="17"/>
        </w:rPr>
        <w:t xml:space="preserve"> (1.5 MB)</w:t>
      </w:r>
    </w:p>
    <w:p w:rsidR="00761C14" w:rsidRPr="00761C14" w:rsidRDefault="00761C14" w:rsidP="00761C14">
      <w:pPr>
        <w:numPr>
          <w:ilvl w:val="0"/>
          <w:numId w:val="1"/>
        </w:numPr>
        <w:spacing w:after="45" w:line="270" w:lineRule="atLeast"/>
        <w:ind w:left="3180"/>
        <w:textAlignment w:val="top"/>
        <w:rPr>
          <w:rFonts w:ascii="Georgia" w:eastAsia="Times New Roman" w:hAnsi="Georgia" w:cs="Times New Roman"/>
          <w:color w:val="595959"/>
          <w:sz w:val="21"/>
          <w:szCs w:val="21"/>
        </w:rPr>
      </w:pP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14"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15"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Suggested Student Objectives</w:t>
      </w:r>
    </w:p>
    <w:p w:rsidR="00761C14" w:rsidRPr="00761C14" w:rsidRDefault="00761C14" w:rsidP="00761C1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Read works of the twentieth century, focusing on the earlier decades.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Consider aspects of modernism (such as anxiety) in their historical context.</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Explain both the breakdown and affirmation of form and meaning in modernist literature.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Analyze dystopian literature, considering the problems inherent in fashioning a perfect person or society.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Consider how poems in this unit reflect on poetry itself and its possibilities.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Write research papers in which they consult literary criticism and historical materials.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Consider the implications of modern versions of classical works.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lastRenderedPageBreak/>
        <w:t>Examine the musical allusions and their meanings in twentieth-century poetical works in seminars.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Pursue focused questions in depth over the course of one or two class sessions.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Understand absurdist and existential philosophy as it applies to literature and theatre.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Research the literature they have read over the course of the year and the concepts they have studied.</w:t>
      </w:r>
    </w:p>
    <w:p w:rsidR="00761C14" w:rsidRPr="00761C14" w:rsidRDefault="00761C14" w:rsidP="00761C14">
      <w:pPr>
        <w:numPr>
          <w:ilvl w:val="0"/>
          <w:numId w:val="1"/>
        </w:numPr>
        <w:spacing w:after="45" w:line="270" w:lineRule="atLeast"/>
        <w:ind w:left="3180"/>
        <w:textAlignment w:val="top"/>
        <w:rPr>
          <w:rFonts w:ascii="Georgia" w:eastAsia="Times New Roman" w:hAnsi="Georgia" w:cs="Times New Roman"/>
          <w:color w:val="595959"/>
          <w:sz w:val="21"/>
          <w:szCs w:val="21"/>
        </w:rPr>
      </w:pP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17"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18"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Suggested Works</w:t>
      </w:r>
    </w:p>
    <w:p w:rsidR="00761C14" w:rsidRPr="00761C14" w:rsidRDefault="00761C14" w:rsidP="00761C14">
      <w:pPr>
        <w:numPr>
          <w:ilvl w:val="1"/>
          <w:numId w:val="1"/>
        </w:numPr>
        <w:spacing w:before="75" w:line="255" w:lineRule="atLeast"/>
        <w:ind w:left="3180"/>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(E) </w:t>
      </w:r>
      <w:proofErr w:type="gramStart"/>
      <w:r w:rsidRPr="00761C14">
        <w:rPr>
          <w:rFonts w:ascii="Verdana" w:eastAsia="Times New Roman" w:hAnsi="Verdana" w:cs="Times New Roman"/>
          <w:color w:val="595959"/>
          <w:sz w:val="17"/>
          <w:szCs w:val="17"/>
        </w:rPr>
        <w:t>indicates</w:t>
      </w:r>
      <w:proofErr w:type="gramEnd"/>
      <w:r w:rsidRPr="00761C14">
        <w:rPr>
          <w:rFonts w:ascii="Verdana" w:eastAsia="Times New Roman" w:hAnsi="Verdana" w:cs="Times New Roman"/>
          <w:color w:val="595959"/>
          <w:sz w:val="17"/>
          <w:szCs w:val="17"/>
        </w:rPr>
        <w:t xml:space="preserve"> a CCSS exemplar text; (EA) indicates a text from a writer with other works identified as exemplars.</w:t>
      </w:r>
    </w:p>
    <w:p w:rsidR="00761C14" w:rsidRPr="00761C14" w:rsidRDefault="00761C14" w:rsidP="00761C1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61C14">
        <w:rPr>
          <w:rFonts w:ascii="Arial Black" w:eastAsia="Times New Roman" w:hAnsi="Arial Black" w:cs="Times New Roman"/>
          <w:b/>
          <w:bCs/>
          <w:caps/>
          <w:color w:val="000000"/>
          <w:spacing w:val="15"/>
          <w:sz w:val="17"/>
          <w:szCs w:val="17"/>
        </w:rPr>
        <w:t>Literary Texts</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Teachers may make the literary selections in a number of ways. They may select works across the genres, or they may focus primarily on a particular genre. The selections should address the ideas of anxiety and beauty in some manner and should offer contrasting responses to the tension and crises of the twentieth century.</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Novels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The Mayor of Casterbridge </w:t>
      </w:r>
      <w:r w:rsidRPr="00761C14">
        <w:rPr>
          <w:rFonts w:ascii="Verdana" w:eastAsia="Times New Roman" w:hAnsi="Verdana" w:cs="Times New Roman"/>
          <w:color w:val="595959"/>
          <w:sz w:val="17"/>
          <w:szCs w:val="17"/>
        </w:rPr>
        <w:t>(Thomas Hardy)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Pan: From Lieutenant Thomas Glahn’s Papers </w:t>
      </w:r>
      <w:r w:rsidRPr="00761C14">
        <w:rPr>
          <w:rFonts w:ascii="Verdana" w:eastAsia="Times New Roman" w:hAnsi="Verdana" w:cs="Times New Roman"/>
          <w:color w:val="595959"/>
          <w:sz w:val="17"/>
          <w:szCs w:val="17"/>
        </w:rPr>
        <w:t>(Knut Hamsun)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Steppenwolf </w:t>
      </w:r>
      <w:r w:rsidRPr="00761C14">
        <w:rPr>
          <w:rFonts w:ascii="Verdana" w:eastAsia="Times New Roman" w:hAnsi="Verdana" w:cs="Times New Roman"/>
          <w:color w:val="595959"/>
          <w:sz w:val="17"/>
          <w:szCs w:val="17"/>
        </w:rPr>
        <w:t>(Hermann Hesse)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Briefing for a Descent into Hell </w:t>
      </w:r>
      <w:r w:rsidRPr="00761C14">
        <w:rPr>
          <w:rFonts w:ascii="Verdana" w:eastAsia="Times New Roman" w:hAnsi="Verdana" w:cs="Times New Roman"/>
          <w:color w:val="595959"/>
          <w:sz w:val="17"/>
          <w:szCs w:val="17"/>
        </w:rPr>
        <w:t>(Doris Lessing)</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1984 </w:t>
      </w:r>
      <w:r w:rsidRPr="00761C14">
        <w:rPr>
          <w:rFonts w:ascii="Verdana" w:eastAsia="Times New Roman" w:hAnsi="Verdana" w:cs="Times New Roman"/>
          <w:color w:val="595959"/>
          <w:sz w:val="17"/>
          <w:szCs w:val="17"/>
        </w:rPr>
        <w:t>(George Orwell)</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Brave New World </w:t>
      </w:r>
      <w:r w:rsidRPr="00761C14">
        <w:rPr>
          <w:rFonts w:ascii="Verdana" w:eastAsia="Times New Roman" w:hAnsi="Verdana" w:cs="Times New Roman"/>
          <w:color w:val="595959"/>
          <w:sz w:val="17"/>
          <w:szCs w:val="17"/>
        </w:rPr>
        <w:t>(Aldous Huxley)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All Quiet on the Western Front </w:t>
      </w:r>
      <w:r w:rsidRPr="00761C14">
        <w:rPr>
          <w:rFonts w:ascii="Verdana" w:eastAsia="Times New Roman" w:hAnsi="Verdana" w:cs="Times New Roman"/>
          <w:color w:val="595959"/>
          <w:sz w:val="17"/>
          <w:szCs w:val="17"/>
        </w:rPr>
        <w:t>(Erich Maria Remarque)</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Novellas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The Metamorphosis </w:t>
      </w:r>
      <w:r w:rsidRPr="00761C14">
        <w:rPr>
          <w:rFonts w:ascii="Verdana" w:eastAsia="Times New Roman" w:hAnsi="Verdana" w:cs="Times New Roman"/>
          <w:color w:val="595959"/>
          <w:sz w:val="17"/>
          <w:szCs w:val="17"/>
        </w:rPr>
        <w:t>(Franz Kafka) (E)</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Plays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Antigone </w:t>
      </w:r>
      <w:r w:rsidRPr="00761C14">
        <w:rPr>
          <w:rFonts w:ascii="Verdana" w:eastAsia="Times New Roman" w:hAnsi="Verdana" w:cs="Times New Roman"/>
          <w:color w:val="595959"/>
          <w:sz w:val="17"/>
          <w:szCs w:val="17"/>
        </w:rPr>
        <w:t>(Jean Anouilh)</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Mother Courage and Her Children </w:t>
      </w:r>
      <w:r w:rsidRPr="00761C14">
        <w:rPr>
          <w:rFonts w:ascii="Verdana" w:eastAsia="Times New Roman" w:hAnsi="Verdana" w:cs="Times New Roman"/>
          <w:color w:val="595959"/>
          <w:sz w:val="17"/>
          <w:szCs w:val="17"/>
        </w:rPr>
        <w:t>(Bertolt Brecht)</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Caligula </w:t>
      </w:r>
      <w:r w:rsidRPr="00761C14">
        <w:rPr>
          <w:rFonts w:ascii="Verdana" w:eastAsia="Times New Roman" w:hAnsi="Verdana" w:cs="Times New Roman"/>
          <w:color w:val="595959"/>
          <w:sz w:val="17"/>
          <w:szCs w:val="17"/>
        </w:rPr>
        <w:t>(Albert Camus)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Pygmalion</w:t>
      </w:r>
      <w:r w:rsidRPr="00761C14">
        <w:rPr>
          <w:rFonts w:ascii="Verdana" w:eastAsia="Times New Roman" w:hAnsi="Verdana" w:cs="Times New Roman"/>
          <w:color w:val="595959"/>
          <w:sz w:val="17"/>
          <w:szCs w:val="17"/>
        </w:rPr>
        <w:t>(George Bernard Shaw)</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Rhinoceros </w:t>
      </w:r>
      <w:r w:rsidRPr="00761C14">
        <w:rPr>
          <w:rFonts w:ascii="Verdana" w:eastAsia="Times New Roman" w:hAnsi="Verdana" w:cs="Times New Roman"/>
          <w:color w:val="595959"/>
          <w:sz w:val="17"/>
          <w:szCs w:val="17"/>
        </w:rPr>
        <w:t>(Eugene Ionesco) (E)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Waiting for Godot </w:t>
      </w:r>
      <w:r w:rsidRPr="00761C14">
        <w:rPr>
          <w:rFonts w:ascii="Verdana" w:eastAsia="Times New Roman" w:hAnsi="Verdana" w:cs="Times New Roman"/>
          <w:color w:val="595959"/>
          <w:sz w:val="17"/>
          <w:szCs w:val="17"/>
        </w:rPr>
        <w:t>(Samuel Beckett)</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King Lear </w:t>
      </w:r>
      <w:r w:rsidRPr="00761C14">
        <w:rPr>
          <w:rFonts w:ascii="Verdana" w:eastAsia="Times New Roman" w:hAnsi="Verdana" w:cs="Times New Roman"/>
          <w:color w:val="595959"/>
          <w:sz w:val="17"/>
          <w:szCs w:val="17"/>
        </w:rPr>
        <w:t>(William Shakespeare)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Hamlet </w:t>
      </w:r>
      <w:r w:rsidRPr="00761C14">
        <w:rPr>
          <w:rFonts w:ascii="Verdana" w:eastAsia="Times New Roman" w:hAnsi="Verdana" w:cs="Times New Roman"/>
          <w:color w:val="595959"/>
          <w:sz w:val="17"/>
          <w:szCs w:val="17"/>
        </w:rPr>
        <w:t>(William Shakespeare)</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Poems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 Darkling Thrush” (Thomas Hardy)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“Archaic Torso of Apollo” (Rainer Maria Rilke)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 Second Coming” (William Butler Yeats)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Poem of the Deep Song </w:t>
      </w:r>
      <w:r w:rsidRPr="00761C14">
        <w:rPr>
          <w:rFonts w:ascii="Verdana" w:eastAsia="Times New Roman" w:hAnsi="Verdana" w:cs="Times New Roman"/>
          <w:color w:val="595959"/>
          <w:sz w:val="17"/>
          <w:szCs w:val="17"/>
        </w:rPr>
        <w:t>(Federico García Lorca) (selections)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Four Quartets </w:t>
      </w:r>
      <w:r w:rsidRPr="00761C14">
        <w:rPr>
          <w:rFonts w:ascii="Verdana" w:eastAsia="Times New Roman" w:hAnsi="Verdana" w:cs="Times New Roman"/>
          <w:color w:val="595959"/>
          <w:sz w:val="17"/>
          <w:szCs w:val="17"/>
        </w:rPr>
        <w:t>(T. S. Eliot) (EA)</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lastRenderedPageBreak/>
        <w:t xml:space="preserve">The Wasteland </w:t>
      </w:r>
      <w:r w:rsidRPr="00761C14">
        <w:rPr>
          <w:rFonts w:ascii="Verdana" w:eastAsia="Times New Roman" w:hAnsi="Verdana" w:cs="Times New Roman"/>
          <w:color w:val="595959"/>
          <w:sz w:val="17"/>
          <w:szCs w:val="17"/>
        </w:rPr>
        <w:t>(T. S. Eliot) (EA)</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“Conversation with a Stone” (Wisława Szymborska)</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“Suicide in the  Trenches” (Siegfried Sassoon)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“Counter-Attack” (Siegfried Sassoon)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 Old Huntsman” (Siegfried Sassoon)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“Dreamers” (Siegfried Sassoon)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 Daffodil Murderer” (Siegfried Sassoon)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The Age of Anxiety: A Baroque Eclogue </w:t>
      </w:r>
      <w:r w:rsidRPr="00761C14">
        <w:rPr>
          <w:rFonts w:ascii="Verdana" w:eastAsia="Times New Roman" w:hAnsi="Verdana" w:cs="Times New Roman"/>
          <w:color w:val="595959"/>
          <w:sz w:val="17"/>
          <w:szCs w:val="17"/>
        </w:rPr>
        <w:t>(W.H. Auden) (EA)</w:t>
      </w:r>
    </w:p>
    <w:p w:rsidR="00761C14" w:rsidRPr="00761C14" w:rsidRDefault="00761C14" w:rsidP="00761C1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61C14">
        <w:rPr>
          <w:rFonts w:ascii="Arial Black" w:eastAsia="Times New Roman" w:hAnsi="Arial Black" w:cs="Times New Roman"/>
          <w:b/>
          <w:bCs/>
          <w:caps/>
          <w:color w:val="000000"/>
          <w:spacing w:val="15"/>
          <w:sz w:val="17"/>
          <w:szCs w:val="17"/>
        </w:rPr>
        <w:t>Informational Texts</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Historical Nonfiction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Thus Spoke Zarathustra </w:t>
      </w:r>
      <w:r w:rsidRPr="00761C14">
        <w:rPr>
          <w:rFonts w:ascii="Verdana" w:eastAsia="Times New Roman" w:hAnsi="Verdana" w:cs="Times New Roman"/>
          <w:color w:val="595959"/>
          <w:sz w:val="17"/>
          <w:szCs w:val="17"/>
        </w:rPr>
        <w:t>(Friedrich Wilhelm Nietzsche)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 xml:space="preserve">Letters to a Young Poet </w:t>
      </w:r>
      <w:r w:rsidRPr="00761C14">
        <w:rPr>
          <w:rFonts w:ascii="Verdana" w:eastAsia="Times New Roman" w:hAnsi="Verdana" w:cs="Times New Roman"/>
          <w:color w:val="595959"/>
          <w:sz w:val="17"/>
          <w:szCs w:val="17"/>
        </w:rPr>
        <w:t>(Rainer Maria Rilke)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The Courage to Be</w:t>
      </w:r>
      <w:r w:rsidRPr="00761C14">
        <w:rPr>
          <w:rFonts w:ascii="Verdana" w:eastAsia="Times New Roman" w:hAnsi="Verdana" w:cs="Times New Roman"/>
          <w:color w:val="595959"/>
          <w:sz w:val="17"/>
          <w:szCs w:val="17"/>
        </w:rPr>
        <w:t> (Paul Tillich) (selections)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i/>
          <w:iCs/>
          <w:color w:val="595959"/>
          <w:sz w:val="17"/>
          <w:szCs w:val="17"/>
        </w:rPr>
        <w:t>The Ego and the Id </w:t>
      </w:r>
      <w:r w:rsidRPr="00761C14">
        <w:rPr>
          <w:rFonts w:ascii="Verdana" w:eastAsia="Times New Roman" w:hAnsi="Verdana" w:cs="Times New Roman"/>
          <w:color w:val="595959"/>
          <w:sz w:val="17"/>
          <w:szCs w:val="17"/>
        </w:rPr>
        <w:t>(Sigmund Freud) (selections)</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Speeches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“Their Finest Hour” (House of Commons, June 18, 1940) (Winston Churchill) (EA)</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Essays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“Crisis of the Mind” (Paul Valéry)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 Fallacy of Success” (G.K. Chesterton) (E)</w:t>
      </w:r>
    </w:p>
    <w:p w:rsidR="00761C14" w:rsidRPr="00761C14" w:rsidRDefault="00761C14" w:rsidP="00761C1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61C14">
        <w:rPr>
          <w:rFonts w:ascii="Arial Black" w:eastAsia="Times New Roman" w:hAnsi="Arial Black" w:cs="Times New Roman"/>
          <w:b/>
          <w:bCs/>
          <w:caps/>
          <w:color w:val="000000"/>
          <w:spacing w:val="15"/>
          <w:sz w:val="17"/>
          <w:szCs w:val="17"/>
        </w:rPr>
        <w:t>Art, Music, and Media</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Music</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Ludwig van Beethoven, String Quartet No. 15 in A Minor, Op. 132 (1825)</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Flamenco guitar music (such as that performed by Carlos Montoya or Paco Peña)</w:t>
      </w:r>
    </w:p>
    <w:p w:rsidR="00761C14" w:rsidRPr="00761C14" w:rsidRDefault="00761C14" w:rsidP="00761C14">
      <w:pPr>
        <w:numPr>
          <w:ilvl w:val="0"/>
          <w:numId w:val="1"/>
        </w:numPr>
        <w:spacing w:after="45" w:line="270" w:lineRule="atLeast"/>
        <w:ind w:left="3180"/>
        <w:textAlignment w:val="top"/>
        <w:rPr>
          <w:rFonts w:ascii="Georgia" w:eastAsia="Times New Roman" w:hAnsi="Georgia" w:cs="Times New Roman"/>
          <w:color w:val="595959"/>
          <w:sz w:val="21"/>
          <w:szCs w:val="21"/>
        </w:rPr>
      </w:pP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20"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21"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Sample Activities and Assessments</w:t>
      </w:r>
    </w:p>
    <w:p w:rsidR="00761C14" w:rsidRPr="00761C14" w:rsidRDefault="00761C14" w:rsidP="00761C14">
      <w:pPr>
        <w:numPr>
          <w:ilvl w:val="1"/>
          <w:numId w:val="1"/>
        </w:numPr>
        <w:spacing w:after="120" w:line="255" w:lineRule="atLeast"/>
        <w:ind w:left="3180"/>
        <w:textAlignment w:val="top"/>
        <w:rPr>
          <w:rFonts w:ascii="Verdana" w:eastAsia="Times New Roman" w:hAnsi="Verdana" w:cs="Times New Roman"/>
          <w:color w:val="595959"/>
          <w:sz w:val="17"/>
          <w:szCs w:val="17"/>
        </w:rPr>
      </w:pPr>
      <w:r w:rsidRPr="00761C14">
        <w:rPr>
          <w:rFonts w:ascii="Verdana" w:eastAsia="Times New Roman" w:hAnsi="Verdana" w:cs="Times New Roman"/>
          <w:b/>
          <w:bCs/>
          <w:color w:val="595959"/>
          <w:sz w:val="17"/>
          <w:szCs w:val="17"/>
        </w:rPr>
        <w:t>Note:</w:t>
      </w:r>
      <w:r w:rsidRPr="00761C14">
        <w:rPr>
          <w:rFonts w:ascii="Verdana" w:eastAsia="Times New Roman" w:hAnsi="Verdana" w:cs="Times New Roman"/>
          <w:color w:val="595959"/>
          <w:sz w:val="17"/>
          <w:szCs w:val="17"/>
        </w:rPr>
        <w:t xml:space="preserve"> </w:t>
      </w:r>
      <w:r w:rsidRPr="00761C14">
        <w:rPr>
          <w:rFonts w:ascii="Verdana" w:eastAsia="Times New Roman" w:hAnsi="Verdana" w:cs="Times New Roman"/>
          <w:i/>
          <w:iCs/>
          <w:color w:val="595959"/>
          <w:sz w:val="17"/>
          <w:szCs w:val="17"/>
        </w:rPr>
        <w:t xml:space="preserve">After reading and discussing a work or pairing of works as a class, students prepare for seminars and essays by reflecting individually, in pairs, and/or in small groups on a given seminar/essay question. In this way, ideas are student generated.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hyperlink r:id="rId22" w:tgtFrame="_blank" w:history="1">
        <w:r w:rsidRPr="00761C14">
          <w:rPr>
            <w:rFonts w:ascii="Verdana" w:eastAsia="Times New Roman" w:hAnsi="Verdana" w:cs="Times New Roman"/>
            <w:i/>
            <w:iCs/>
            <w:color w:val="000000"/>
            <w:sz w:val="17"/>
            <w:szCs w:val="17"/>
            <w:u w:val="single"/>
          </w:rPr>
          <w:t>here</w:t>
        </w:r>
      </w:hyperlink>
      <w:r w:rsidRPr="00761C14">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Collaborate</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lastRenderedPageBreak/>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w:t>
      </w:r>
      <w:proofErr w:type="gramStart"/>
      <w:r w:rsidRPr="00761C14">
        <w:rPr>
          <w:rFonts w:ascii="Verdana" w:eastAsia="Times New Roman" w:hAnsi="Verdana" w:cs="Times New Roman"/>
          <w:color w:val="595959"/>
          <w:sz w:val="17"/>
          <w:szCs w:val="17"/>
        </w:rPr>
        <w:t>?(</w:t>
      </w:r>
      <w:proofErr w:type="gramEnd"/>
      <w:r w:rsidRPr="00761C14">
        <w:rPr>
          <w:rFonts w:ascii="Verdana" w:eastAsia="Times New Roman" w:hAnsi="Verdana" w:cs="Times New Roman"/>
          <w:color w:val="595959"/>
          <w:sz w:val="17"/>
          <w:szCs w:val="17"/>
        </w:rPr>
        <w:t>RL.11-12.1, SL.11-12.1)</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How does Auden’s “September 1, 1939” (in </w:t>
      </w:r>
      <w:r w:rsidRPr="00761C14">
        <w:rPr>
          <w:rFonts w:ascii="Verdana" w:eastAsia="Times New Roman" w:hAnsi="Verdana" w:cs="Times New Roman"/>
          <w:i/>
          <w:iCs/>
          <w:color w:val="595959"/>
          <w:sz w:val="17"/>
          <w:szCs w:val="17"/>
        </w:rPr>
        <w:t>The Age of Anxiety</w:t>
      </w:r>
      <w:r w:rsidRPr="00761C14">
        <w:rPr>
          <w:rFonts w:ascii="Verdana" w:eastAsia="Times New Roman" w:hAnsi="Verdana" w:cs="Times New Roman"/>
          <w:color w:val="595959"/>
          <w:sz w:val="17"/>
          <w:szCs w:val="17"/>
        </w:rPr>
        <w:t>) shed light on the works studied in this unit?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How did the war-era poetry of Sassoon contribute to the shaping of existentialism as a philosophy?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How do </w:t>
      </w:r>
      <w:r w:rsidRPr="00761C14">
        <w:rPr>
          <w:rFonts w:ascii="Verdana" w:eastAsia="Times New Roman" w:hAnsi="Verdana" w:cs="Times New Roman"/>
          <w:i/>
          <w:iCs/>
          <w:color w:val="595959"/>
          <w:sz w:val="17"/>
          <w:szCs w:val="17"/>
        </w:rPr>
        <w:t>All Quiet on the Western Front</w:t>
      </w:r>
      <w:r w:rsidRPr="00761C14">
        <w:rPr>
          <w:rFonts w:ascii="Verdana" w:eastAsia="Times New Roman" w:hAnsi="Verdana" w:cs="Times New Roman"/>
          <w:color w:val="595959"/>
          <w:sz w:val="17"/>
          <w:szCs w:val="17"/>
        </w:rPr>
        <w:t xml:space="preserve"> and Sassoon’s war poems influence and contribute to the existential movement?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Compare Anouilh’s </w:t>
      </w:r>
      <w:r w:rsidRPr="00761C14">
        <w:rPr>
          <w:rFonts w:ascii="Verdana" w:eastAsia="Times New Roman" w:hAnsi="Verdana" w:cs="Times New Roman"/>
          <w:i/>
          <w:iCs/>
          <w:color w:val="595959"/>
          <w:sz w:val="17"/>
          <w:szCs w:val="17"/>
        </w:rPr>
        <w:t xml:space="preserve">Antigone </w:t>
      </w:r>
      <w:r w:rsidRPr="00761C14">
        <w:rPr>
          <w:rFonts w:ascii="Verdana" w:eastAsia="Times New Roman" w:hAnsi="Verdana" w:cs="Times New Roman"/>
          <w:color w:val="595959"/>
          <w:sz w:val="17"/>
          <w:szCs w:val="17"/>
        </w:rPr>
        <w:t xml:space="preserve">with Sophocles’ </w:t>
      </w:r>
      <w:r w:rsidRPr="00761C14">
        <w:rPr>
          <w:rFonts w:ascii="Verdana" w:eastAsia="Times New Roman" w:hAnsi="Verdana" w:cs="Times New Roman"/>
          <w:i/>
          <w:iCs/>
          <w:color w:val="595959"/>
          <w:sz w:val="17"/>
          <w:szCs w:val="17"/>
        </w:rPr>
        <w:t xml:space="preserve">Antigone </w:t>
      </w:r>
      <w:r w:rsidRPr="00761C14">
        <w:rPr>
          <w:rFonts w:ascii="Verdana" w:eastAsia="Times New Roman" w:hAnsi="Verdana" w:cs="Times New Roman"/>
          <w:color w:val="595959"/>
          <w:sz w:val="17"/>
          <w:szCs w:val="17"/>
        </w:rPr>
        <w:t>(which students read in grade 9). Cite at least two sources of outside literary criticism.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Was Orwell’s classic novel </w:t>
      </w:r>
      <w:r w:rsidRPr="00761C14">
        <w:rPr>
          <w:rFonts w:ascii="Verdana" w:eastAsia="Times New Roman" w:hAnsi="Verdana" w:cs="Times New Roman"/>
          <w:i/>
          <w:iCs/>
          <w:color w:val="595959"/>
          <w:sz w:val="17"/>
          <w:szCs w:val="17"/>
        </w:rPr>
        <w:t>1984</w:t>
      </w:r>
      <w:r w:rsidRPr="00761C14">
        <w:rPr>
          <w:rFonts w:ascii="Verdana" w:eastAsia="Times New Roman" w:hAnsi="Verdana" w:cs="Times New Roman"/>
          <w:color w:val="595959"/>
          <w:sz w:val="17"/>
          <w:szCs w:val="17"/>
        </w:rPr>
        <w:t xml:space="preserve"> prophetic?  Consider the rise, fall, and endurance in the twentieth century of political regimes that restrict personal freedoms.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Compare the outcasts of two dystopian works in this unit, </w:t>
      </w:r>
      <w:r w:rsidRPr="00761C14">
        <w:rPr>
          <w:rFonts w:ascii="Verdana" w:eastAsia="Times New Roman" w:hAnsi="Verdana" w:cs="Times New Roman"/>
          <w:i/>
          <w:iCs/>
          <w:color w:val="595959"/>
          <w:sz w:val="17"/>
          <w:szCs w:val="17"/>
        </w:rPr>
        <w:t>1984</w:t>
      </w:r>
      <w:r w:rsidRPr="00761C14">
        <w:rPr>
          <w:rFonts w:ascii="Verdana" w:eastAsia="Times New Roman" w:hAnsi="Verdana" w:cs="Times New Roman"/>
          <w:color w:val="595959"/>
          <w:sz w:val="17"/>
          <w:szCs w:val="17"/>
        </w:rPr>
        <w:t xml:space="preserve"> and </w:t>
      </w:r>
      <w:r w:rsidRPr="00761C14">
        <w:rPr>
          <w:rFonts w:ascii="Verdana" w:eastAsia="Times New Roman" w:hAnsi="Verdana" w:cs="Times New Roman"/>
          <w:i/>
          <w:iCs/>
          <w:color w:val="595959"/>
          <w:sz w:val="17"/>
          <w:szCs w:val="17"/>
        </w:rPr>
        <w:t>A Brave New World</w:t>
      </w:r>
      <w:r w:rsidRPr="00761C14">
        <w:rPr>
          <w:rFonts w:ascii="Verdana" w:eastAsia="Times New Roman" w:hAnsi="Verdana" w:cs="Times New Roman"/>
          <w:color w:val="595959"/>
          <w:sz w:val="17"/>
          <w:szCs w:val="17"/>
        </w:rPr>
        <w:t>. How are their struggles different? How are they similar?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What social values are discarded in the dystopian works </w:t>
      </w:r>
      <w:r w:rsidRPr="00761C14">
        <w:rPr>
          <w:rFonts w:ascii="Verdana" w:eastAsia="Times New Roman" w:hAnsi="Verdana" w:cs="Times New Roman"/>
          <w:i/>
          <w:iCs/>
          <w:color w:val="595959"/>
          <w:sz w:val="17"/>
          <w:szCs w:val="17"/>
        </w:rPr>
        <w:t>1984</w:t>
      </w:r>
      <w:r w:rsidRPr="00761C14">
        <w:rPr>
          <w:rFonts w:ascii="Verdana" w:eastAsia="Times New Roman" w:hAnsi="Verdana" w:cs="Times New Roman"/>
          <w:color w:val="595959"/>
          <w:sz w:val="17"/>
          <w:szCs w:val="17"/>
        </w:rPr>
        <w:t xml:space="preserve"> and/or </w:t>
      </w:r>
      <w:r w:rsidRPr="00761C14">
        <w:rPr>
          <w:rFonts w:ascii="Verdana" w:eastAsia="Times New Roman" w:hAnsi="Verdana" w:cs="Times New Roman"/>
          <w:i/>
          <w:iCs/>
          <w:color w:val="595959"/>
          <w:sz w:val="17"/>
          <w:szCs w:val="17"/>
        </w:rPr>
        <w:t xml:space="preserve">A Brave New World? </w:t>
      </w:r>
      <w:r w:rsidRPr="00761C14">
        <w:rPr>
          <w:rFonts w:ascii="Verdana" w:eastAsia="Times New Roman" w:hAnsi="Verdana" w:cs="Times New Roman"/>
          <w:color w:val="595959"/>
          <w:sz w:val="17"/>
          <w:szCs w:val="17"/>
        </w:rPr>
        <w:t>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Hesse is a master of blending fantasy and reality. He claims his novel </w:t>
      </w:r>
      <w:r w:rsidRPr="00761C14">
        <w:rPr>
          <w:rFonts w:ascii="Verdana" w:eastAsia="Times New Roman" w:hAnsi="Verdana" w:cs="Times New Roman"/>
          <w:i/>
          <w:iCs/>
          <w:color w:val="595959"/>
          <w:sz w:val="17"/>
          <w:szCs w:val="17"/>
        </w:rPr>
        <w:t>Steppenwolf</w:t>
      </w:r>
      <w:r w:rsidRPr="00761C14">
        <w:rPr>
          <w:rFonts w:ascii="Verdana" w:eastAsia="Times New Roman" w:hAnsi="Verdana" w:cs="Times New Roman"/>
          <w:color w:val="595959"/>
          <w:sz w:val="17"/>
          <w:szCs w:val="17"/>
        </w:rPr>
        <w:t xml:space="preserve"> has been “violently misunderstood.” Consider it as an existential novel. Why could it easily be misunderstood?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Relate the loss of hope and despair to one of the dystopian novels in this unit to Hardy’s poem “The Darkling Thrush.” From where does this hopelessness derive in both texts?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lastRenderedPageBreak/>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Consider </w:t>
      </w:r>
      <w:r w:rsidRPr="00761C14">
        <w:rPr>
          <w:rFonts w:ascii="Verdana" w:eastAsia="Times New Roman" w:hAnsi="Verdana" w:cs="Times New Roman"/>
          <w:i/>
          <w:iCs/>
          <w:color w:val="595959"/>
          <w:sz w:val="17"/>
          <w:szCs w:val="17"/>
        </w:rPr>
        <w:t>Mother Courage and Her Children</w:t>
      </w:r>
      <w:r w:rsidRPr="00761C14">
        <w:rPr>
          <w:rFonts w:ascii="Verdana" w:eastAsia="Times New Roman" w:hAnsi="Verdana" w:cs="Times New Roman"/>
          <w:color w:val="595959"/>
          <w:sz w:val="17"/>
          <w:szCs w:val="17"/>
        </w:rPr>
        <w:t xml:space="preserve"> as an allegorical, moral tale where war is depicted as a business. What moral is presented by the story?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How is Gregor Samsa’s transformation in </w:t>
      </w:r>
      <w:r w:rsidRPr="00761C14">
        <w:rPr>
          <w:rFonts w:ascii="Verdana" w:eastAsia="Times New Roman" w:hAnsi="Verdana" w:cs="Times New Roman"/>
          <w:i/>
          <w:iCs/>
          <w:color w:val="595959"/>
          <w:sz w:val="17"/>
          <w:szCs w:val="17"/>
        </w:rPr>
        <w:t>The Metamorphosis</w:t>
      </w:r>
      <w:r w:rsidRPr="00761C14">
        <w:rPr>
          <w:rFonts w:ascii="Verdana" w:eastAsia="Times New Roman" w:hAnsi="Verdana" w:cs="Times New Roman"/>
          <w:color w:val="595959"/>
          <w:sz w:val="17"/>
          <w:szCs w:val="17"/>
        </w:rPr>
        <w:t xml:space="preserve"> a metaphor for the existential experience?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Examine how each author reworks classical stories and themes in Anouilh’s </w:t>
      </w:r>
      <w:r w:rsidRPr="00761C14">
        <w:rPr>
          <w:rFonts w:ascii="Verdana" w:eastAsia="Times New Roman" w:hAnsi="Verdana" w:cs="Times New Roman"/>
          <w:i/>
          <w:iCs/>
          <w:color w:val="595959"/>
          <w:sz w:val="17"/>
          <w:szCs w:val="17"/>
        </w:rPr>
        <w:t xml:space="preserve">Antigone </w:t>
      </w:r>
      <w:r w:rsidRPr="00761C14">
        <w:rPr>
          <w:rFonts w:ascii="Verdana" w:eastAsia="Times New Roman" w:hAnsi="Verdana" w:cs="Times New Roman"/>
          <w:color w:val="595959"/>
          <w:sz w:val="17"/>
          <w:szCs w:val="17"/>
        </w:rPr>
        <w:t xml:space="preserve">and/or Camus’ </w:t>
      </w:r>
      <w:r w:rsidRPr="00761C14">
        <w:rPr>
          <w:rFonts w:ascii="Verdana" w:eastAsia="Times New Roman" w:hAnsi="Verdana" w:cs="Times New Roman"/>
          <w:i/>
          <w:iCs/>
          <w:color w:val="595959"/>
          <w:sz w:val="17"/>
          <w:szCs w:val="17"/>
        </w:rPr>
        <w:t>Caligula</w:t>
      </w:r>
      <w:r w:rsidRPr="00761C14">
        <w:rPr>
          <w:rFonts w:ascii="Verdana" w:eastAsia="Times New Roman" w:hAnsi="Verdana" w:cs="Times New Roman"/>
          <w:color w:val="595959"/>
          <w:sz w:val="17"/>
          <w:szCs w:val="17"/>
        </w:rPr>
        <w:t>. Consider how historical context affects an enduring story or theme. Write an essay that uses specific textual evidence that supports an original, concise thesis statement. (RL.11-12.2, SL.11-12.1 W.11-12.5,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Consider the musical allusions and their contribution to the meaning of twentieth-century poetical works using Eliot’s </w:t>
      </w:r>
      <w:r w:rsidRPr="00761C14">
        <w:rPr>
          <w:rFonts w:ascii="Verdana" w:eastAsia="Times New Roman" w:hAnsi="Verdana" w:cs="Times New Roman"/>
          <w:i/>
          <w:iCs/>
          <w:color w:val="595959"/>
          <w:sz w:val="17"/>
          <w:szCs w:val="17"/>
        </w:rPr>
        <w:t>Four Quartets</w:t>
      </w:r>
      <w:r w:rsidRPr="00761C14">
        <w:rPr>
          <w:rFonts w:ascii="Verdana" w:eastAsia="Times New Roman" w:hAnsi="Verdana" w:cs="Times New Roman"/>
          <w:color w:val="595959"/>
          <w:sz w:val="17"/>
          <w:szCs w:val="17"/>
        </w:rPr>
        <w:t xml:space="preserve"> and/or Lorca’s </w:t>
      </w:r>
      <w:r w:rsidRPr="00761C14">
        <w:rPr>
          <w:rFonts w:ascii="Verdana" w:eastAsia="Times New Roman" w:hAnsi="Verdana" w:cs="Times New Roman"/>
          <w:i/>
          <w:iCs/>
          <w:color w:val="595959"/>
          <w:sz w:val="17"/>
          <w:szCs w:val="17"/>
        </w:rPr>
        <w:t>Poem of the Deep Song</w:t>
      </w:r>
      <w:r w:rsidRPr="00761C14">
        <w:rPr>
          <w:rFonts w:ascii="Verdana" w:eastAsia="Times New Roman" w:hAnsi="Verdana" w:cs="Times New Roman"/>
          <w:color w:val="595959"/>
          <w:sz w:val="17"/>
          <w:szCs w:val="17"/>
        </w:rPr>
        <w:t>. What musical characteristics highlight the themes in the poetry?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Paying close attention to the storm scenes and the role of the fool in </w:t>
      </w:r>
      <w:r w:rsidRPr="00761C14">
        <w:rPr>
          <w:rFonts w:ascii="Verdana" w:eastAsia="Times New Roman" w:hAnsi="Verdana" w:cs="Times New Roman"/>
          <w:i/>
          <w:iCs/>
          <w:color w:val="595959"/>
          <w:sz w:val="17"/>
          <w:szCs w:val="17"/>
        </w:rPr>
        <w:t>King Lear</w:t>
      </w:r>
      <w:r w:rsidRPr="00761C14">
        <w:rPr>
          <w:rFonts w:ascii="Verdana" w:eastAsia="Times New Roman" w:hAnsi="Verdana" w:cs="Times New Roman"/>
          <w:color w:val="595959"/>
          <w:sz w:val="17"/>
          <w:szCs w:val="17"/>
        </w:rPr>
        <w:t xml:space="preserve">, how could the play </w:t>
      </w:r>
      <w:proofErr w:type="gramStart"/>
      <w:r w:rsidRPr="00761C14">
        <w:rPr>
          <w:rFonts w:ascii="Verdana" w:eastAsia="Times New Roman" w:hAnsi="Verdana" w:cs="Times New Roman"/>
          <w:color w:val="595959"/>
          <w:sz w:val="17"/>
          <w:szCs w:val="17"/>
        </w:rPr>
        <w:t>be</w:t>
      </w:r>
      <w:proofErr w:type="gramEnd"/>
      <w:r w:rsidRPr="00761C14">
        <w:rPr>
          <w:rFonts w:ascii="Verdana" w:eastAsia="Times New Roman" w:hAnsi="Verdana" w:cs="Times New Roman"/>
          <w:color w:val="595959"/>
          <w:sz w:val="17"/>
          <w:szCs w:val="17"/>
        </w:rPr>
        <w:t xml:space="preserve"> regarded as an existential work?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Paying close attention to Hamlet’s soliloquies, how can </w:t>
      </w:r>
      <w:r w:rsidRPr="00761C14">
        <w:rPr>
          <w:rFonts w:ascii="Verdana" w:eastAsia="Times New Roman" w:hAnsi="Verdana" w:cs="Times New Roman"/>
          <w:i/>
          <w:iCs/>
          <w:color w:val="595959"/>
          <w:sz w:val="17"/>
          <w:szCs w:val="17"/>
        </w:rPr>
        <w:t>Hamlet</w:t>
      </w:r>
      <w:r w:rsidRPr="00761C14">
        <w:rPr>
          <w:rFonts w:ascii="Verdana" w:eastAsia="Times New Roman" w:hAnsi="Verdana" w:cs="Times New Roman"/>
          <w:color w:val="595959"/>
          <w:sz w:val="17"/>
          <w:szCs w:val="17"/>
        </w:rPr>
        <w:t xml:space="preserve"> </w:t>
      </w:r>
      <w:proofErr w:type="gramStart"/>
      <w:r w:rsidRPr="00761C14">
        <w:rPr>
          <w:rFonts w:ascii="Verdana" w:eastAsia="Times New Roman" w:hAnsi="Verdana" w:cs="Times New Roman"/>
          <w:color w:val="595959"/>
          <w:sz w:val="17"/>
          <w:szCs w:val="17"/>
        </w:rPr>
        <w:t>be</w:t>
      </w:r>
      <w:proofErr w:type="gramEnd"/>
      <w:r w:rsidRPr="00761C14">
        <w:rPr>
          <w:rFonts w:ascii="Verdana" w:eastAsia="Times New Roman" w:hAnsi="Verdana" w:cs="Times New Roman"/>
          <w:color w:val="595959"/>
          <w:sz w:val="17"/>
          <w:szCs w:val="17"/>
        </w:rPr>
        <w:t xml:space="preserve"> regarded as a work of existentialism? How does it apply to Auden’s concept of anxiety?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“The Second Coming” is an allegorical poem that describes the state of Europe after WWI. How do the metaphors in the poem convey meaning?  Does it reveal an existential world view? Why or why not? Write an essay that uses specific textual evidence that supports an original, concise thesis statement. (RL.11-12.4, SL.11-12.4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Seminar and Essay</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 xml:space="preserve">Compare and contrast how </w:t>
      </w:r>
      <w:r w:rsidRPr="00761C14">
        <w:rPr>
          <w:rFonts w:ascii="Verdana" w:eastAsia="Times New Roman" w:hAnsi="Verdana" w:cs="Times New Roman"/>
          <w:i/>
          <w:iCs/>
          <w:color w:val="595959"/>
          <w:sz w:val="17"/>
          <w:szCs w:val="17"/>
        </w:rPr>
        <w:t>The Mayor of Casterbridge</w:t>
      </w:r>
      <w:r w:rsidRPr="00761C14">
        <w:rPr>
          <w:rFonts w:ascii="Verdana" w:eastAsia="Times New Roman" w:hAnsi="Verdana" w:cs="Times New Roman"/>
          <w:color w:val="595959"/>
          <w:sz w:val="17"/>
          <w:szCs w:val="17"/>
        </w:rPr>
        <w:t xml:space="preserve"> and </w:t>
      </w:r>
      <w:r w:rsidRPr="00761C14">
        <w:rPr>
          <w:rFonts w:ascii="Verdana" w:eastAsia="Times New Roman" w:hAnsi="Verdana" w:cs="Times New Roman"/>
          <w:i/>
          <w:iCs/>
          <w:color w:val="595959"/>
          <w:sz w:val="17"/>
          <w:szCs w:val="17"/>
        </w:rPr>
        <w:t>Pygmalion</w:t>
      </w:r>
      <w:r w:rsidRPr="00761C14">
        <w:rPr>
          <w:rFonts w:ascii="Verdana" w:eastAsia="Times New Roman" w:hAnsi="Verdana" w:cs="Times New Roman"/>
          <w:color w:val="595959"/>
          <w:sz w:val="17"/>
          <w:szCs w:val="17"/>
        </w:rPr>
        <w:t xml:space="preserve"> are both concerned with fashioning the perfect individual. How do these texts conform to Auden’s Age of Anxiety? Write an essay that uses specific textual evidence that supports an original, concise thesis statement. (RL.11-12.4</w:t>
      </w:r>
      <w:proofErr w:type="gramStart"/>
      <w:r w:rsidRPr="00761C14">
        <w:rPr>
          <w:rFonts w:ascii="Verdana" w:eastAsia="Times New Roman" w:hAnsi="Verdana" w:cs="Times New Roman"/>
          <w:color w:val="595959"/>
          <w:sz w:val="17"/>
          <w:szCs w:val="17"/>
        </w:rPr>
        <w:t>,SL.11</w:t>
      </w:r>
      <w:proofErr w:type="gramEnd"/>
      <w:r w:rsidRPr="00761C14">
        <w:rPr>
          <w:rFonts w:ascii="Verdana" w:eastAsia="Times New Roman" w:hAnsi="Verdana" w:cs="Times New Roman"/>
          <w:color w:val="595959"/>
          <w:sz w:val="17"/>
          <w:szCs w:val="17"/>
        </w:rPr>
        <w:t>-12.4 W.11-12.5, W.11-12.7, W.11-12.8, L.11-12.6)</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Oral presentation</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Recite a one- to two-minute passage from one of the texts. Include an introduction that discusses:</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How the passage deals with the question of meaning and meaninglessness; or</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How the passage comments, directly or indirectly, on historical events. (SL.11-12.4)</w:t>
      </w:r>
    </w:p>
    <w:p w:rsidR="00761C14" w:rsidRPr="00761C14" w:rsidRDefault="00761C14" w:rsidP="00761C14">
      <w:pPr>
        <w:spacing w:after="60" w:line="240" w:lineRule="atLeast"/>
        <w:textAlignment w:val="top"/>
        <w:outlineLvl w:val="4"/>
        <w:rPr>
          <w:rFonts w:ascii="Georgia" w:eastAsia="Times New Roman" w:hAnsi="Georgia" w:cs="Times New Roman"/>
          <w:b/>
          <w:bCs/>
          <w:color w:val="842A30"/>
          <w:sz w:val="21"/>
          <w:szCs w:val="21"/>
        </w:rPr>
      </w:pPr>
      <w:r w:rsidRPr="00761C14">
        <w:rPr>
          <w:rFonts w:ascii="Georgia" w:eastAsia="Times New Roman" w:hAnsi="Georgia" w:cs="Times New Roman"/>
          <w:b/>
          <w:bCs/>
          <w:color w:val="842A30"/>
          <w:sz w:val="21"/>
          <w:szCs w:val="21"/>
        </w:rPr>
        <w:t>Research Paper</w:t>
      </w:r>
    </w:p>
    <w:p w:rsidR="00761C14" w:rsidRPr="00761C14" w:rsidRDefault="00761C14" w:rsidP="00761C14">
      <w:pPr>
        <w:spacing w:after="120" w:line="255" w:lineRule="atLeast"/>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lastRenderedPageBreak/>
        <w:t>Using texts from this unit or additional outside sources, write a research paper that answers the essential question</w:t>
      </w:r>
      <w:r w:rsidRPr="00761C14">
        <w:rPr>
          <w:rFonts w:ascii="Verdana" w:eastAsia="Times New Roman" w:hAnsi="Verdana" w:cs="Times New Roman"/>
          <w:b/>
          <w:bCs/>
          <w:color w:val="595959"/>
          <w:sz w:val="17"/>
          <w:szCs w:val="17"/>
        </w:rPr>
        <w:t>: “</w:t>
      </w:r>
      <w:r w:rsidRPr="00761C14">
        <w:rPr>
          <w:rFonts w:ascii="Verdana" w:eastAsia="Times New Roman" w:hAnsi="Verdana" w:cs="Times New Roman"/>
          <w:color w:val="595959"/>
          <w:sz w:val="17"/>
          <w:szCs w:val="17"/>
        </w:rPr>
        <w:t>Why (in literature) might the twentieth century be regarded as the Age of Anxiety?” Use textual evidence to support an original thesis statement designed to answer this question. (W.11-12.7, W.11-12.8)</w:t>
      </w:r>
    </w:p>
    <w:p w:rsidR="00761C14" w:rsidRPr="00761C14" w:rsidRDefault="00761C14" w:rsidP="00761C14">
      <w:pPr>
        <w:shd w:val="clear" w:color="auto" w:fill="EFF3F4"/>
        <w:spacing w:line="255" w:lineRule="atLeast"/>
        <w:textAlignment w:val="top"/>
        <w:rPr>
          <w:rFonts w:ascii="Verdana" w:eastAsia="Times New Roman" w:hAnsi="Verdana" w:cs="Times New Roman"/>
          <w:color w:val="595959"/>
          <w:sz w:val="17"/>
          <w:szCs w:val="17"/>
        </w:rPr>
      </w:pPr>
      <w:hyperlink r:id="rId23" w:history="1">
        <w:r w:rsidRPr="00761C14">
          <w:rPr>
            <w:rFonts w:ascii="Verdana" w:eastAsia="Times New Roman" w:hAnsi="Verdana" w:cs="Times New Roman"/>
            <w:color w:val="000000"/>
            <w:sz w:val="17"/>
            <w:szCs w:val="17"/>
            <w:u w:val="single"/>
          </w:rPr>
          <w:t>Scoring Rubric</w:t>
        </w:r>
      </w:hyperlink>
    </w:p>
    <w:p w:rsidR="00761C14" w:rsidRPr="00761C14" w:rsidRDefault="00761C14" w:rsidP="00761C14">
      <w:pPr>
        <w:numPr>
          <w:ilvl w:val="0"/>
          <w:numId w:val="1"/>
        </w:numPr>
        <w:spacing w:after="45" w:line="270" w:lineRule="atLeast"/>
        <w:ind w:left="3180"/>
        <w:textAlignment w:val="top"/>
        <w:rPr>
          <w:rFonts w:ascii="Georgia" w:eastAsia="Times New Roman" w:hAnsi="Georgia" w:cs="Times New Roman"/>
          <w:color w:val="595959"/>
          <w:sz w:val="21"/>
          <w:szCs w:val="21"/>
        </w:rPr>
      </w:pP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25"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26"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Additional Resources</w:t>
      </w:r>
    </w:p>
    <w:p w:rsidR="00761C14" w:rsidRPr="00761C14" w:rsidRDefault="00761C14" w:rsidP="00761C1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761C14">
          <w:rPr>
            <w:rFonts w:ascii="Verdana" w:eastAsia="Times New Roman" w:hAnsi="Verdana" w:cs="Times New Roman"/>
            <w:b/>
            <w:bCs/>
            <w:color w:val="000000"/>
            <w:sz w:val="17"/>
            <w:szCs w:val="17"/>
            <w:u w:val="single"/>
          </w:rPr>
          <w:t>Dystopias: Definition and Characteristics</w:t>
        </w:r>
      </w:hyperlink>
      <w:r w:rsidRPr="00761C14">
        <w:rPr>
          <w:rFonts w:ascii="Verdana" w:eastAsia="Times New Roman" w:hAnsi="Verdana" w:cs="Times New Roman"/>
          <w:b/>
          <w:bCs/>
          <w:color w:val="595959"/>
          <w:sz w:val="17"/>
          <w:szCs w:val="17"/>
        </w:rPr>
        <w:t xml:space="preserve"> </w:t>
      </w:r>
      <w:r w:rsidRPr="00761C14">
        <w:rPr>
          <w:rFonts w:ascii="Verdana" w:eastAsia="Times New Roman" w:hAnsi="Verdana" w:cs="Times New Roman"/>
          <w:color w:val="595959"/>
          <w:sz w:val="17"/>
          <w:szCs w:val="17"/>
        </w:rPr>
        <w:t>(ReadWriteThink</w:t>
      </w:r>
      <w:proofErr w:type="gramStart"/>
      <w:r w:rsidRPr="00761C14">
        <w:rPr>
          <w:rFonts w:ascii="Verdana" w:eastAsia="Times New Roman" w:hAnsi="Verdana" w:cs="Times New Roman"/>
          <w:color w:val="595959"/>
          <w:sz w:val="17"/>
          <w:szCs w:val="17"/>
        </w:rPr>
        <w:t>)</w:t>
      </w:r>
      <w:proofErr w:type="gramEnd"/>
      <w:r w:rsidRPr="00761C14">
        <w:rPr>
          <w:rFonts w:ascii="Verdana" w:eastAsia="Times New Roman" w:hAnsi="Verdana" w:cs="Times New Roman"/>
          <w:color w:val="595959"/>
          <w:sz w:val="17"/>
          <w:szCs w:val="17"/>
        </w:rPr>
        <w:br/>
        <w:t>This pdf handout discusses the differences between utopia and dystopia, as well as the characteristics of a dystopian society. </w:t>
      </w:r>
    </w:p>
    <w:p w:rsidR="00761C14" w:rsidRPr="00761C14" w:rsidRDefault="00761C14" w:rsidP="00761C14">
      <w:pPr>
        <w:numPr>
          <w:ilvl w:val="0"/>
          <w:numId w:val="1"/>
        </w:numPr>
        <w:spacing w:after="45" w:line="270" w:lineRule="atLeast"/>
        <w:ind w:left="3180"/>
        <w:textAlignment w:val="top"/>
        <w:rPr>
          <w:rFonts w:ascii="Georgia" w:eastAsia="Times New Roman" w:hAnsi="Georgia" w:cs="Times New Roman"/>
          <w:color w:val="595959"/>
          <w:sz w:val="21"/>
          <w:szCs w:val="21"/>
        </w:rPr>
      </w:pPr>
    </w:p>
    <w:p w:rsidR="00761C14" w:rsidRPr="00761C14" w:rsidRDefault="00761C14" w:rsidP="00761C1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761C14">
          <w:rPr>
            <w:rFonts w:ascii="Verdana" w:eastAsia="Times New Roman" w:hAnsi="Verdana" w:cs="Times New Roman"/>
            <w:color w:val="000000"/>
            <w:sz w:val="17"/>
            <w:szCs w:val="17"/>
          </w:rPr>
          <w:t>Show All</w:t>
        </w:r>
      </w:hyperlink>
      <w:r w:rsidRPr="00761C14">
        <w:rPr>
          <w:rFonts w:ascii="Verdana" w:eastAsia="Times New Roman" w:hAnsi="Verdana" w:cs="Times New Roman"/>
          <w:color w:val="867F69"/>
          <w:sz w:val="17"/>
          <w:szCs w:val="17"/>
        </w:rPr>
        <w:t xml:space="preserve"> | </w:t>
      </w:r>
      <w:hyperlink r:id="rId29" w:history="1">
        <w:r w:rsidRPr="00761C14">
          <w:rPr>
            <w:rFonts w:ascii="Verdana" w:eastAsia="Times New Roman" w:hAnsi="Verdana" w:cs="Times New Roman"/>
            <w:color w:val="000000"/>
            <w:sz w:val="17"/>
            <w:szCs w:val="17"/>
          </w:rPr>
          <w:t>Hide All</w:t>
        </w:r>
      </w:hyperlink>
      <w:r w:rsidRPr="00761C14">
        <w:rPr>
          <w:rFonts w:ascii="Verdana" w:eastAsia="Times New Roman" w:hAnsi="Verdana" w:cs="Times New Roman"/>
          <w:color w:val="867F69"/>
          <w:sz w:val="17"/>
          <w:szCs w:val="17"/>
        </w:rPr>
        <w:t xml:space="preserve"> | </w:t>
      </w:r>
      <w:hyperlink r:id="rId30" w:anchor="top" w:history="1">
        <w:r w:rsidRPr="00761C14">
          <w:rPr>
            <w:rFonts w:ascii="Verdana" w:eastAsia="Times New Roman" w:hAnsi="Verdana" w:cs="Times New Roman"/>
            <w:color w:val="000000"/>
            <w:sz w:val="17"/>
            <w:szCs w:val="17"/>
          </w:rPr>
          <w:t>Top</w:t>
        </w:r>
      </w:hyperlink>
      <w:r w:rsidRPr="00761C14">
        <w:rPr>
          <w:rFonts w:ascii="Georgia" w:eastAsia="Times New Roman" w:hAnsi="Georgia" w:cs="Times New Roman"/>
          <w:color w:val="595959"/>
          <w:sz w:val="21"/>
          <w:szCs w:val="21"/>
        </w:rPr>
        <w:t xml:space="preserve"> </w:t>
      </w:r>
    </w:p>
    <w:p w:rsidR="00761C14" w:rsidRPr="00761C14" w:rsidRDefault="00761C14" w:rsidP="00761C1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61C14">
        <w:rPr>
          <w:rFonts w:ascii="Georgia" w:eastAsia="Times New Roman" w:hAnsi="Georgia" w:cs="Times New Roman"/>
          <w:b/>
          <w:bCs/>
          <w:caps/>
          <w:color w:val="FFFFFF"/>
          <w:spacing w:val="15"/>
          <w:sz w:val="26"/>
          <w:szCs w:val="26"/>
        </w:rPr>
        <w:t>Terminology</w:t>
      </w:r>
    </w:p>
    <w:p w:rsidR="00761C14" w:rsidRPr="00761C14" w:rsidRDefault="00761C14" w:rsidP="00761C1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absurd</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affirmation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negation</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anxiety</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dystopia</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existentialism</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free verse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modernism</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neologism</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postmodernism</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rhetorical device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satire</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totalitarianism</w:t>
      </w:r>
    </w:p>
    <w:p w:rsidR="00761C14" w:rsidRPr="00761C14" w:rsidRDefault="00761C14" w:rsidP="00761C14">
      <w:pPr>
        <w:numPr>
          <w:ilvl w:val="2"/>
          <w:numId w:val="1"/>
        </w:numPr>
        <w:spacing w:after="45" w:line="255" w:lineRule="atLeast"/>
        <w:ind w:left="3405"/>
        <w:textAlignment w:val="top"/>
        <w:rPr>
          <w:rFonts w:ascii="Verdana" w:eastAsia="Times New Roman" w:hAnsi="Verdana" w:cs="Times New Roman"/>
          <w:color w:val="595959"/>
          <w:sz w:val="17"/>
          <w:szCs w:val="17"/>
        </w:rPr>
      </w:pPr>
      <w:r w:rsidRPr="00761C14">
        <w:rPr>
          <w:rFonts w:ascii="Verdana" w:eastAsia="Times New Roman" w:hAnsi="Verdana" w:cs="Times New Roman"/>
          <w:color w:val="595959"/>
          <w:sz w:val="17"/>
          <w:szCs w:val="17"/>
        </w:rPr>
        <w:t>understatement</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742"/>
    <w:multiLevelType w:val="multilevel"/>
    <w:tmpl w:val="305A4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14"/>
    <w:rsid w:val="00005EC0"/>
    <w:rsid w:val="0076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42034">
      <w:bodyDiv w:val="1"/>
      <w:marLeft w:val="0"/>
      <w:marRight w:val="0"/>
      <w:marTop w:val="0"/>
      <w:marBottom w:val="0"/>
      <w:divBdr>
        <w:top w:val="none" w:sz="0" w:space="0" w:color="auto"/>
        <w:left w:val="none" w:sz="0" w:space="0" w:color="auto"/>
        <w:bottom w:val="none" w:sz="0" w:space="0" w:color="auto"/>
        <w:right w:val="none" w:sz="0" w:space="0" w:color="auto"/>
      </w:divBdr>
      <w:divsChild>
        <w:div w:id="590551380">
          <w:marLeft w:val="0"/>
          <w:marRight w:val="0"/>
          <w:marTop w:val="0"/>
          <w:marBottom w:val="0"/>
          <w:divBdr>
            <w:top w:val="none" w:sz="0" w:space="0" w:color="auto"/>
            <w:left w:val="none" w:sz="0" w:space="0" w:color="auto"/>
            <w:bottom w:val="none" w:sz="0" w:space="0" w:color="auto"/>
            <w:right w:val="none" w:sz="0" w:space="0" w:color="auto"/>
          </w:divBdr>
          <w:divsChild>
            <w:div w:id="1326933784">
              <w:marLeft w:val="0"/>
              <w:marRight w:val="0"/>
              <w:marTop w:val="0"/>
              <w:marBottom w:val="0"/>
              <w:divBdr>
                <w:top w:val="none" w:sz="0" w:space="0" w:color="auto"/>
                <w:left w:val="none" w:sz="0" w:space="0" w:color="auto"/>
                <w:bottom w:val="none" w:sz="0" w:space="0" w:color="auto"/>
                <w:right w:val="none" w:sz="0" w:space="0" w:color="auto"/>
              </w:divBdr>
              <w:divsChild>
                <w:div w:id="689918447">
                  <w:marLeft w:val="0"/>
                  <w:marRight w:val="0"/>
                  <w:marTop w:val="0"/>
                  <w:marBottom w:val="0"/>
                  <w:divBdr>
                    <w:top w:val="none" w:sz="0" w:space="0" w:color="auto"/>
                    <w:left w:val="none" w:sz="0" w:space="0" w:color="auto"/>
                    <w:bottom w:val="none" w:sz="0" w:space="0" w:color="auto"/>
                    <w:right w:val="none" w:sz="0" w:space="0" w:color="auto"/>
                  </w:divBdr>
                  <w:divsChild>
                    <w:div w:id="1411808062">
                      <w:marLeft w:val="3180"/>
                      <w:marRight w:val="0"/>
                      <w:marTop w:val="0"/>
                      <w:marBottom w:val="0"/>
                      <w:divBdr>
                        <w:top w:val="none" w:sz="0" w:space="0" w:color="auto"/>
                        <w:left w:val="none" w:sz="0" w:space="0" w:color="auto"/>
                        <w:bottom w:val="none" w:sz="0" w:space="0" w:color="auto"/>
                        <w:right w:val="none" w:sz="0" w:space="0" w:color="auto"/>
                      </w:divBdr>
                      <w:divsChild>
                        <w:div w:id="2010015785">
                          <w:marLeft w:val="0"/>
                          <w:marRight w:val="0"/>
                          <w:marTop w:val="0"/>
                          <w:marBottom w:val="210"/>
                          <w:divBdr>
                            <w:top w:val="none" w:sz="0" w:space="0" w:color="auto"/>
                            <w:left w:val="none" w:sz="0" w:space="0" w:color="auto"/>
                            <w:bottom w:val="none" w:sz="0" w:space="0" w:color="auto"/>
                            <w:right w:val="none" w:sz="0" w:space="0" w:color="auto"/>
                          </w:divBdr>
                        </w:div>
                        <w:div w:id="2102678666">
                          <w:marLeft w:val="0"/>
                          <w:marRight w:val="0"/>
                          <w:marTop w:val="0"/>
                          <w:marBottom w:val="210"/>
                          <w:divBdr>
                            <w:top w:val="single" w:sz="6" w:space="0" w:color="DCD6C6"/>
                            <w:left w:val="single" w:sz="6" w:space="7" w:color="DCD6C6"/>
                            <w:bottom w:val="single" w:sz="6" w:space="0" w:color="DCD6C6"/>
                            <w:right w:val="single" w:sz="6" w:space="4" w:color="DCD6C6"/>
                          </w:divBdr>
                        </w:div>
                        <w:div w:id="1710765196">
                          <w:marLeft w:val="0"/>
                          <w:marRight w:val="0"/>
                          <w:marTop w:val="225"/>
                          <w:marBottom w:val="210"/>
                          <w:divBdr>
                            <w:top w:val="none" w:sz="0" w:space="0" w:color="auto"/>
                            <w:left w:val="none" w:sz="0" w:space="0" w:color="auto"/>
                            <w:bottom w:val="none" w:sz="0" w:space="0" w:color="auto"/>
                            <w:right w:val="none" w:sz="0" w:space="0" w:color="auto"/>
                          </w:divBdr>
                        </w:div>
                        <w:div w:id="1958441689">
                          <w:marLeft w:val="0"/>
                          <w:marRight w:val="0"/>
                          <w:marTop w:val="0"/>
                          <w:marBottom w:val="210"/>
                          <w:divBdr>
                            <w:top w:val="single" w:sz="6" w:space="0" w:color="DCD6C6"/>
                            <w:left w:val="single" w:sz="6" w:space="7" w:color="DCD6C6"/>
                            <w:bottom w:val="single" w:sz="6" w:space="0" w:color="DCD6C6"/>
                            <w:right w:val="single" w:sz="6" w:space="4" w:color="DCD6C6"/>
                          </w:divBdr>
                        </w:div>
                        <w:div w:id="467746616">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2_unit_6/" TargetMode="External"/><Relationship Id="rId13" Type="http://schemas.openxmlformats.org/officeDocument/2006/relationships/hyperlink" Target="http://commoncore.org/free/index.php/maps/grade_12_unit_6/" TargetMode="External"/><Relationship Id="rId18" Type="http://schemas.openxmlformats.org/officeDocument/2006/relationships/hyperlink" Target="http://commoncore.org/free/index.php/maps/grade_12_unit_6/" TargetMode="External"/><Relationship Id="rId26" Type="http://schemas.openxmlformats.org/officeDocument/2006/relationships/hyperlink" Target="http://commoncore.org/free/index.php/maps/grade_12_unit_6/" TargetMode="External"/><Relationship Id="rId3" Type="http://schemas.microsoft.com/office/2007/relationships/stylesWithEffects" Target="stylesWithEffects.xml"/><Relationship Id="rId21" Type="http://schemas.openxmlformats.org/officeDocument/2006/relationships/hyperlink" Target="http://commoncore.org/free/index.php/maps/grade_12_unit_6/" TargetMode="External"/><Relationship Id="rId7" Type="http://schemas.openxmlformats.org/officeDocument/2006/relationships/hyperlink" Target="http://commoncore.org/free/index.php/maps/grade_12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2_unit_6/" TargetMode="External"/><Relationship Id="rId25" Type="http://schemas.openxmlformats.org/officeDocument/2006/relationships/hyperlink" Target="http://commoncore.org/free/index.php/maps/grade_12_unit_6/" TargetMode="External"/><Relationship Id="rId2" Type="http://schemas.openxmlformats.org/officeDocument/2006/relationships/styles" Target="styles.xml"/><Relationship Id="rId16" Type="http://schemas.openxmlformats.org/officeDocument/2006/relationships/hyperlink" Target="http://commoncore.org/free/index.php/maps/grade_12_unit_6/" TargetMode="External"/><Relationship Id="rId20" Type="http://schemas.openxmlformats.org/officeDocument/2006/relationships/hyperlink" Target="http://commoncore.org/free/index.php/maps/grade_12_unit_6/" TargetMode="External"/><Relationship Id="rId29" Type="http://schemas.openxmlformats.org/officeDocument/2006/relationships/hyperlink" Target="http://commoncore.org/free/index.php/maps/grade_12_unit_6/" TargetMode="External"/><Relationship Id="rId1" Type="http://schemas.openxmlformats.org/officeDocument/2006/relationships/numbering" Target="numbering.xml"/><Relationship Id="rId6" Type="http://schemas.openxmlformats.org/officeDocument/2006/relationships/hyperlink" Target="http://commoncore.org/free/index.php/maps/grade_12_unit_6/" TargetMode="External"/><Relationship Id="rId11" Type="http://schemas.openxmlformats.org/officeDocument/2006/relationships/hyperlink" Target="http://commoncore.org/free/index.php/maps/grade_12_unit_6/" TargetMode="External"/><Relationship Id="rId24" Type="http://schemas.openxmlformats.org/officeDocument/2006/relationships/hyperlink" Target="http://commoncore.org/free/index.php/maps/grade_12_unit_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12_unit_6/" TargetMode="External"/><Relationship Id="rId23" Type="http://schemas.openxmlformats.org/officeDocument/2006/relationships/hyperlink" Target="http://commoncore.org/free/resources/Socratic_Seminar_Rubric_SP.doc" TargetMode="External"/><Relationship Id="rId28" Type="http://schemas.openxmlformats.org/officeDocument/2006/relationships/hyperlink" Target="http://commoncore.org/free/index.php/maps/grade_12_unit_6/" TargetMode="External"/><Relationship Id="rId10" Type="http://schemas.openxmlformats.org/officeDocument/2006/relationships/hyperlink" Target="http://commoncore.org/free/index.php/maps/grade_12_unit_6/" TargetMode="External"/><Relationship Id="rId19" Type="http://schemas.openxmlformats.org/officeDocument/2006/relationships/hyperlink" Target="http://commoncore.org/free/index.php/maps/grade_12_unit_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12_unit_6/" TargetMode="External"/><Relationship Id="rId14" Type="http://schemas.openxmlformats.org/officeDocument/2006/relationships/hyperlink" Target="http://commoncore.org/free/index.php/maps/grade_12_unit_6/" TargetMode="External"/><Relationship Id="rId22" Type="http://schemas.openxmlformats.org/officeDocument/2006/relationships/hyperlink" Target="http://commoncore.org/free/index.php/maps/grade_12_unit_6/" TargetMode="External"/><Relationship Id="rId27" Type="http://schemas.openxmlformats.org/officeDocument/2006/relationships/hyperlink" Target="http://www.readwritethink.org/files/resources/lesson_images/lesson926/DefinitionCharacteristics.pdf" TargetMode="External"/><Relationship Id="rId30" Type="http://schemas.openxmlformats.org/officeDocument/2006/relationships/hyperlink" Target="http://commoncore.org/free/index.php/maps/grade_12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14715</Characters>
  <Application>Microsoft Office Word</Application>
  <DocSecurity>0</DocSecurity>
  <Lines>122</Lines>
  <Paragraphs>34</Paragraphs>
  <ScaleCrop>false</ScaleCrop>
  <Company>CGRESD</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2011-10-13T13:09:00Z</dcterms:created>
  <dcterms:modified xsi:type="dcterms:W3CDTF">2011-10-13T13:09:00Z</dcterms:modified>
</cp:coreProperties>
</file>