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AD" w:rsidRPr="00191BAD" w:rsidRDefault="00191BAD" w:rsidP="00191BAD">
      <w:pPr>
        <w:spacing w:after="120" w:line="570" w:lineRule="atLeast"/>
        <w:outlineLvl w:val="0"/>
        <w:rPr>
          <w:rFonts w:ascii="Georgia" w:eastAsia="Times New Roman" w:hAnsi="Georgia" w:cs="Times New Roman"/>
          <w:b/>
          <w:bCs/>
          <w:color w:val="571C1F"/>
          <w:kern w:val="36"/>
          <w:sz w:val="51"/>
          <w:szCs w:val="51"/>
        </w:rPr>
      </w:pPr>
      <w:r w:rsidRPr="00191BAD">
        <w:rPr>
          <w:rFonts w:ascii="Georgia" w:eastAsia="Times New Roman" w:hAnsi="Georgia" w:cs="Times New Roman"/>
          <w:b/>
          <w:bCs/>
          <w:color w:val="571C1F"/>
          <w:kern w:val="36"/>
          <w:sz w:val="51"/>
          <w:szCs w:val="51"/>
        </w:rPr>
        <w:t>European Literature: Seventeenth Century</w:t>
      </w:r>
    </w:p>
    <w:p w:rsidR="00191BAD" w:rsidRPr="00191BAD" w:rsidRDefault="00191BAD" w:rsidP="00191BAD">
      <w:pPr>
        <w:spacing w:after="330" w:line="345" w:lineRule="atLeast"/>
        <w:outlineLvl w:val="1"/>
        <w:rPr>
          <w:rFonts w:ascii="Georgia" w:eastAsia="Times New Roman" w:hAnsi="Georgia" w:cs="Times New Roman"/>
          <w:b/>
          <w:bCs/>
          <w:color w:val="A99F86"/>
          <w:sz w:val="29"/>
          <w:szCs w:val="29"/>
        </w:rPr>
      </w:pPr>
      <w:r w:rsidRPr="00191BAD">
        <w:rPr>
          <w:rFonts w:ascii="Georgia" w:eastAsia="Times New Roman" w:hAnsi="Georgia" w:cs="Times New Roman"/>
          <w:b/>
          <w:bCs/>
          <w:color w:val="A99F86"/>
          <w:sz w:val="29"/>
          <w:szCs w:val="29"/>
        </w:rPr>
        <w:t>In this six-week unit, students explore literary works of the seventeenth century, with particular attention to questions of human reason and emotion.</w:t>
      </w:r>
    </w:p>
    <w:p w:rsidR="00191BAD" w:rsidRPr="00191BAD" w:rsidRDefault="00191BAD" w:rsidP="00191B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7"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8"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Overview</w:t>
      </w:r>
    </w:p>
    <w:p w:rsidR="00191BAD" w:rsidRPr="00191BAD" w:rsidRDefault="00191BAD" w:rsidP="00191BAD">
      <w:pPr>
        <w:numPr>
          <w:ilvl w:val="1"/>
          <w:numId w:val="1"/>
        </w:numPr>
        <w:spacing w:after="120" w:line="255" w:lineRule="atLeast"/>
        <w:ind w:left="318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Students gain understanding of the early Enlightenment and its conception of reason. They see another side of the thought and literature of this period: an emphasis on human emotion, irrationality, and paradox. They consider how certain works express tension or conflict between emotion and reason while others present reason and emotion as complementary and interdependent.</w:t>
      </w:r>
      <w:r w:rsidRPr="00191BAD">
        <w:rPr>
          <w:rFonts w:ascii="Verdana" w:eastAsia="Times New Roman" w:hAnsi="Verdana" w:cs="Times New Roman"/>
          <w:i/>
          <w:iCs/>
          <w:color w:val="595959"/>
          <w:sz w:val="17"/>
          <w:szCs w:val="17"/>
        </w:rPr>
        <w:t xml:space="preserve">   </w:t>
      </w:r>
      <w:r w:rsidRPr="00191BAD">
        <w:rPr>
          <w:rFonts w:ascii="Verdana" w:eastAsia="Times New Roman" w:hAnsi="Verdana" w:cs="Times New Roman"/>
          <w:color w:val="595959"/>
          <w:sz w:val="17"/>
          <w:szCs w:val="17"/>
        </w:rPr>
        <w:t>They will write a critical essay exploring an aspect of the conflict between reason and emotion.  Or teachers might choose to culminate the unit with a research paper that answers the essential question. </w:t>
      </w:r>
    </w:p>
    <w:p w:rsidR="00191BAD" w:rsidRPr="00191BAD" w:rsidRDefault="00191BAD" w:rsidP="00191B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10"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11"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Focus Standards</w:t>
      </w:r>
    </w:p>
    <w:p w:rsidR="00191BAD" w:rsidRPr="00191BAD" w:rsidRDefault="00191BAD" w:rsidP="00191B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These Focus Standards have been selected for the unit from the Common Core State Standards.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 xml:space="preserve">RL.11-12.1: </w:t>
      </w:r>
      <w:r w:rsidRPr="00191BAD">
        <w:rPr>
          <w:rFonts w:ascii="Verdana" w:eastAsia="Times New Roman" w:hAnsi="Verdana" w:cs="Times New Roman"/>
          <w:color w:val="595959"/>
          <w:sz w:val="17"/>
          <w:szCs w:val="17"/>
        </w:rPr>
        <w:t>Cite strong and thorough textual evidence to support analysis of what the text says explicitly as well as inferences drawn from the text, including determining where the text leaves matters uncertain.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RL.11-12.7: </w:t>
      </w:r>
      <w:r w:rsidRPr="00191BAD">
        <w:rPr>
          <w:rFonts w:ascii="Verdana" w:eastAsia="Times New Roman" w:hAnsi="Verdana" w:cs="Times New Roman"/>
          <w:color w:val="595959"/>
          <w:sz w:val="17"/>
          <w:szCs w:val="17"/>
        </w:rPr>
        <w:t>Analyze multiple interpretations of a story, drama, or poem (e.g., recorded or live production of a play or recorded novel or poetry)</w:t>
      </w:r>
      <w:proofErr w:type="gramStart"/>
      <w:r w:rsidRPr="00191BAD">
        <w:rPr>
          <w:rFonts w:ascii="Verdana" w:eastAsia="Times New Roman" w:hAnsi="Verdana" w:cs="Times New Roman"/>
          <w:color w:val="595959"/>
          <w:sz w:val="17"/>
          <w:szCs w:val="17"/>
        </w:rPr>
        <w:t>,</w:t>
      </w:r>
      <w:proofErr w:type="gramEnd"/>
      <w:r w:rsidRPr="00191BAD">
        <w:rPr>
          <w:rFonts w:ascii="Verdana" w:eastAsia="Times New Roman" w:hAnsi="Verdana" w:cs="Times New Roman"/>
          <w:color w:val="595959"/>
          <w:sz w:val="17"/>
          <w:szCs w:val="17"/>
        </w:rPr>
        <w:t xml:space="preserve"> evaluating how each version interprets the source text. (Include at least one play by Shakespeare and one play by an American dramatist.)</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 xml:space="preserve">RI.11-12.3: </w:t>
      </w:r>
      <w:r w:rsidRPr="00191BAD">
        <w:rPr>
          <w:rFonts w:ascii="Verdana" w:eastAsia="Times New Roman" w:hAnsi="Verdana" w:cs="Times New Roman"/>
          <w:color w:val="595959"/>
          <w:sz w:val="17"/>
          <w:szCs w:val="17"/>
        </w:rPr>
        <w:t>Analyze a complex set of ideas or sequence of events and explain how specific individuals, ideas, or events interact and develop over the course of the text.</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RI.11-12.4: </w:t>
      </w:r>
      <w:r w:rsidRPr="00191BAD">
        <w:rPr>
          <w:rFonts w:ascii="Verdana" w:eastAsia="Times New Roman" w:hAnsi="Verdana" w:cs="Times New Roman"/>
          <w:color w:val="595959"/>
          <w:sz w:val="17"/>
          <w:szCs w:val="17"/>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“faction”in </w:t>
      </w:r>
      <w:r w:rsidRPr="00191BAD">
        <w:rPr>
          <w:rFonts w:ascii="Verdana" w:eastAsia="Times New Roman" w:hAnsi="Verdana" w:cs="Times New Roman"/>
          <w:i/>
          <w:iCs/>
          <w:color w:val="595959"/>
          <w:sz w:val="17"/>
          <w:szCs w:val="17"/>
        </w:rPr>
        <w:t>Federalist No. 10</w:t>
      </w:r>
      <w:r w:rsidRPr="00191BAD">
        <w:rPr>
          <w:rFonts w:ascii="Verdana" w:eastAsia="Times New Roman" w:hAnsi="Verdana" w:cs="Times New Roman"/>
          <w:color w:val="595959"/>
          <w:sz w:val="17"/>
          <w:szCs w:val="17"/>
        </w:rPr>
        <w:t>).</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RI.11-12.6: </w:t>
      </w:r>
      <w:r w:rsidRPr="00191BAD">
        <w:rPr>
          <w:rFonts w:ascii="Verdana" w:eastAsia="Times New Roman" w:hAnsi="Verdana" w:cs="Times New Roman"/>
          <w:color w:val="595959"/>
          <w:sz w:val="17"/>
          <w:szCs w:val="17"/>
        </w:rPr>
        <w:t>Determine an author’s point of view or purpose in a text in which the rhetoric is particularly effective, analyzing how style and content contribute to the power, persuasiveness, or beauty of the text.</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lastRenderedPageBreak/>
        <w:t>W.11-12.4: </w:t>
      </w:r>
      <w:r w:rsidRPr="00191BAD">
        <w:rPr>
          <w:rFonts w:ascii="Verdana" w:eastAsia="Times New Roman" w:hAnsi="Verdana" w:cs="Times New Roman"/>
          <w:color w:val="595959"/>
          <w:sz w:val="17"/>
          <w:szCs w:val="17"/>
        </w:rPr>
        <w:t>Produce clear and coherent writing in which the development, organization, and style are appropriate to task, purpose, and audience. (Grade-specific expectations for writing types are defined in standards 1–3 above.)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W.11-12.5: </w:t>
      </w:r>
      <w:r w:rsidRPr="00191BAD">
        <w:rPr>
          <w:rFonts w:ascii="Verdana" w:eastAsia="Times New Roman" w:hAnsi="Verdana" w:cs="Times New Roman"/>
          <w:color w:val="595959"/>
          <w:sz w:val="17"/>
          <w:szCs w:val="17"/>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SL.11-12.2: </w:t>
      </w:r>
      <w:r w:rsidRPr="00191BAD">
        <w:rPr>
          <w:rFonts w:ascii="Verdana" w:eastAsia="Times New Roman" w:hAnsi="Verdana" w:cs="Times New Roman"/>
          <w:color w:val="595959"/>
          <w:sz w:val="17"/>
          <w:szCs w:val="17"/>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b/>
          <w:bCs/>
          <w:color w:val="595959"/>
          <w:sz w:val="17"/>
          <w:szCs w:val="17"/>
        </w:rPr>
        <w:t>L.11-12.1(a-b): </w:t>
      </w:r>
      <w:r w:rsidRPr="00191BAD">
        <w:rPr>
          <w:rFonts w:ascii="Verdana" w:eastAsia="Times New Roman" w:hAnsi="Verdana" w:cs="Times New Roman"/>
          <w:color w:val="595959"/>
          <w:sz w:val="17"/>
          <w:szCs w:val="17"/>
        </w:rPr>
        <w:t xml:space="preserve">Demonstrate command of the conventions of </w:t>
      </w:r>
      <w:proofErr w:type="gramStart"/>
      <w:r w:rsidRPr="00191BAD">
        <w:rPr>
          <w:rFonts w:ascii="Verdana" w:eastAsia="Times New Roman" w:hAnsi="Verdana" w:cs="Times New Roman"/>
          <w:color w:val="595959"/>
          <w:sz w:val="17"/>
          <w:szCs w:val="17"/>
        </w:rPr>
        <w:t>standard</w:t>
      </w:r>
      <w:proofErr w:type="gramEnd"/>
      <w:r w:rsidRPr="00191BAD">
        <w:rPr>
          <w:rFonts w:ascii="Verdana" w:eastAsia="Times New Roman" w:hAnsi="Verdana" w:cs="Times New Roman"/>
          <w:color w:val="595959"/>
          <w:sz w:val="17"/>
          <w:szCs w:val="17"/>
        </w:rPr>
        <w:t xml:space="preserve"> English grammar and usage when writing or speaking.</w:t>
      </w:r>
    </w:p>
    <w:p w:rsidR="00191BAD" w:rsidRPr="00191BAD" w:rsidRDefault="00191BAD" w:rsidP="00191BA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191BAD">
          <w:rPr>
            <w:rFonts w:ascii="Verdana" w:eastAsia="Times New Roman" w:hAnsi="Verdana" w:cs="Times New Roman"/>
            <w:color w:val="000000"/>
            <w:sz w:val="17"/>
            <w:szCs w:val="17"/>
            <w:u w:val="single"/>
          </w:rPr>
          <w:t>Common Core State Standards, ELA</w:t>
        </w:r>
      </w:hyperlink>
      <w:r w:rsidRPr="00191BAD">
        <w:rPr>
          <w:rFonts w:ascii="Verdana" w:eastAsia="Times New Roman" w:hAnsi="Verdana" w:cs="Times New Roman"/>
          <w:color w:val="595959"/>
          <w:sz w:val="17"/>
          <w:szCs w:val="17"/>
        </w:rPr>
        <w:t xml:space="preserve"> (1.5 MB)</w:t>
      </w:r>
    </w:p>
    <w:p w:rsidR="00191BAD" w:rsidRPr="00191BAD" w:rsidRDefault="00191BAD" w:rsidP="00191B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14"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15"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Suggested Student Objectives</w:t>
      </w:r>
    </w:p>
    <w:p w:rsidR="00191BAD" w:rsidRPr="00191BAD" w:rsidRDefault="00191BAD" w:rsidP="00191BA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Read literary and philosophical works from the seventeenth century, with particular attention to questions of reason and emotion.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Consider the idea of reading literature as a quest—for truth, for beauty, and for understanding.</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Analyze two philosophical works of the seventeenth century for their treatment of an idea related to human reason.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Write literary and philosophical analyses with a focus on clarity and precision of expression.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Conduct research, online and in libraries, on a particular seventeenth-century author, work, or idea.</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Analyze the relationship between reason and emotion as illustrated in literature of the seventeenth century.</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Understand the use of satire as a technique to reveal authorial intent.</w:t>
      </w:r>
    </w:p>
    <w:p w:rsidR="00191BAD" w:rsidRPr="00191BAD" w:rsidRDefault="00191BAD" w:rsidP="00191B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17"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18"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Suggested Works</w:t>
      </w:r>
    </w:p>
    <w:p w:rsidR="00191BAD" w:rsidRPr="00191BAD" w:rsidRDefault="00191BAD" w:rsidP="00191BAD">
      <w:pPr>
        <w:numPr>
          <w:ilvl w:val="1"/>
          <w:numId w:val="1"/>
        </w:numPr>
        <w:spacing w:before="75" w:line="255" w:lineRule="atLeast"/>
        <w:ind w:left="318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(E) </w:t>
      </w:r>
      <w:proofErr w:type="gramStart"/>
      <w:r w:rsidRPr="00191BAD">
        <w:rPr>
          <w:rFonts w:ascii="Verdana" w:eastAsia="Times New Roman" w:hAnsi="Verdana" w:cs="Times New Roman"/>
          <w:color w:val="595959"/>
          <w:sz w:val="17"/>
          <w:szCs w:val="17"/>
        </w:rPr>
        <w:t>indicates</w:t>
      </w:r>
      <w:proofErr w:type="gramEnd"/>
      <w:r w:rsidRPr="00191BAD">
        <w:rPr>
          <w:rFonts w:ascii="Verdana" w:eastAsia="Times New Roman" w:hAnsi="Verdana" w:cs="Times New Roman"/>
          <w:color w:val="595959"/>
          <w:sz w:val="17"/>
          <w:szCs w:val="17"/>
        </w:rPr>
        <w:t xml:space="preserve"> a CCSS exemplar text; (EA) indicates a text from a writer with other works identified as exemplars.</w:t>
      </w:r>
    </w:p>
    <w:p w:rsidR="00191BAD" w:rsidRPr="00191BAD" w:rsidRDefault="00191BAD" w:rsidP="00191B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91BAD">
        <w:rPr>
          <w:rFonts w:ascii="Arial Black" w:eastAsia="Times New Roman" w:hAnsi="Arial Black" w:cs="Times New Roman"/>
          <w:b/>
          <w:bCs/>
          <w:caps/>
          <w:color w:val="000000"/>
          <w:spacing w:val="15"/>
          <w:sz w:val="17"/>
          <w:szCs w:val="17"/>
        </w:rPr>
        <w:t>Literary Texts</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Note: Because of the number and length of works included in this unit, teachers may want to organize it around two major works, one fiction (or dramatic, or poetic) and one nonfiction, with other works </w:t>
      </w:r>
      <w:r w:rsidRPr="00191BAD">
        <w:rPr>
          <w:rFonts w:ascii="Verdana" w:eastAsia="Times New Roman" w:hAnsi="Verdana" w:cs="Times New Roman"/>
          <w:i/>
          <w:iCs/>
          <w:color w:val="595959"/>
          <w:sz w:val="17"/>
          <w:szCs w:val="17"/>
        </w:rPr>
        <w:lastRenderedPageBreak/>
        <w:t xml:space="preserve">supplementing these selections. As a minimum, students should read one full literary work, a substantial excerpt from a philosophical or scientific work, and several shorter works of fiction and poetry. </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Novels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Don Quixote </w:t>
      </w:r>
      <w:r w:rsidRPr="00191BAD">
        <w:rPr>
          <w:rFonts w:ascii="Verdana" w:eastAsia="Times New Roman" w:hAnsi="Verdana" w:cs="Times New Roman"/>
          <w:color w:val="595959"/>
          <w:sz w:val="17"/>
          <w:szCs w:val="17"/>
        </w:rPr>
        <w:t>(Miguel de Cervantes) (E) (selections)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The Pilgrim’s Progress </w:t>
      </w:r>
      <w:r w:rsidRPr="00191BAD">
        <w:rPr>
          <w:rFonts w:ascii="Verdana" w:eastAsia="Times New Roman" w:hAnsi="Verdana" w:cs="Times New Roman"/>
          <w:color w:val="595959"/>
          <w:sz w:val="17"/>
          <w:szCs w:val="17"/>
        </w:rPr>
        <w:t>(John Bunyan)</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Plays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Hamlet </w:t>
      </w:r>
      <w:r w:rsidRPr="00191BAD">
        <w:rPr>
          <w:rFonts w:ascii="Verdana" w:eastAsia="Times New Roman" w:hAnsi="Verdana" w:cs="Times New Roman"/>
          <w:color w:val="595959"/>
          <w:sz w:val="17"/>
          <w:szCs w:val="17"/>
        </w:rPr>
        <w:t>(William Shakespeare)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King Lear </w:t>
      </w:r>
      <w:r w:rsidRPr="00191BAD">
        <w:rPr>
          <w:rFonts w:ascii="Verdana" w:eastAsia="Times New Roman" w:hAnsi="Verdana" w:cs="Times New Roman"/>
          <w:color w:val="595959"/>
          <w:sz w:val="17"/>
          <w:szCs w:val="17"/>
        </w:rPr>
        <w:t>(William Shakespeare) (E)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The Merchant of Venice </w:t>
      </w:r>
      <w:r w:rsidRPr="00191BAD">
        <w:rPr>
          <w:rFonts w:ascii="Verdana" w:eastAsia="Times New Roman" w:hAnsi="Verdana" w:cs="Times New Roman"/>
          <w:color w:val="595959"/>
          <w:sz w:val="17"/>
          <w:szCs w:val="17"/>
        </w:rPr>
        <w:t>(William Shakespeare) (E)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The Alchemist </w:t>
      </w:r>
      <w:r w:rsidRPr="00191BAD">
        <w:rPr>
          <w:rFonts w:ascii="Verdana" w:eastAsia="Times New Roman" w:hAnsi="Verdana" w:cs="Times New Roman"/>
          <w:color w:val="595959"/>
          <w:sz w:val="17"/>
          <w:szCs w:val="17"/>
        </w:rPr>
        <w:t>(Ben Jonson)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The Miser </w:t>
      </w:r>
      <w:r w:rsidRPr="00191BAD">
        <w:rPr>
          <w:rFonts w:ascii="Verdana" w:eastAsia="Times New Roman" w:hAnsi="Verdana" w:cs="Times New Roman"/>
          <w:color w:val="595959"/>
          <w:sz w:val="17"/>
          <w:szCs w:val="17"/>
        </w:rPr>
        <w:t>(Jean-Baptiste Molière) (EA)</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Poems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“The Flea” (John Donne) (E)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“Song: Goe, and catche a falling starre” (John Donne) (E)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“Holy Sonnet 10” (John Donne) (E)</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“To His Coy Mistress” (Andrew Marvell)</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“To the Virgins to Make Much of Time” (Robert Herrick)</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“To Daffodils” (Robert Herrick)</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“Love III” (George Herbert)</w:t>
      </w:r>
    </w:p>
    <w:p w:rsidR="00191BAD" w:rsidRPr="00191BAD" w:rsidRDefault="00191BAD" w:rsidP="00191B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91BAD">
        <w:rPr>
          <w:rFonts w:ascii="Arial Black" w:eastAsia="Times New Roman" w:hAnsi="Arial Black" w:cs="Times New Roman"/>
          <w:b/>
          <w:bCs/>
          <w:caps/>
          <w:color w:val="000000"/>
          <w:spacing w:val="15"/>
          <w:sz w:val="17"/>
          <w:szCs w:val="17"/>
        </w:rPr>
        <w:t>Informational Texts</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Historical Nonfiction</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Leviathan </w:t>
      </w:r>
      <w:r w:rsidRPr="00191BAD">
        <w:rPr>
          <w:rFonts w:ascii="Verdana" w:eastAsia="Times New Roman" w:hAnsi="Verdana" w:cs="Times New Roman"/>
          <w:color w:val="595959"/>
          <w:sz w:val="17"/>
          <w:szCs w:val="17"/>
        </w:rPr>
        <w:t>(Thomas Hobbes) (selections)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Novum Organum </w:t>
      </w:r>
      <w:r w:rsidRPr="00191BAD">
        <w:rPr>
          <w:rFonts w:ascii="Verdana" w:eastAsia="Times New Roman" w:hAnsi="Verdana" w:cs="Times New Roman"/>
          <w:color w:val="595959"/>
          <w:sz w:val="17"/>
          <w:szCs w:val="17"/>
        </w:rPr>
        <w:t>(Francis Bacon) (selections)</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An Essay Concerning Human Understanding </w:t>
      </w:r>
      <w:r w:rsidRPr="00191BAD">
        <w:rPr>
          <w:rFonts w:ascii="Verdana" w:eastAsia="Times New Roman" w:hAnsi="Verdana" w:cs="Times New Roman"/>
          <w:color w:val="595959"/>
          <w:sz w:val="17"/>
          <w:szCs w:val="17"/>
        </w:rPr>
        <w:t>(John Locke)</w:t>
      </w:r>
    </w:p>
    <w:p w:rsidR="00191BAD" w:rsidRPr="00191BAD" w:rsidRDefault="00191BAD" w:rsidP="00191BA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91BAD">
        <w:rPr>
          <w:rFonts w:ascii="Arial Black" w:eastAsia="Times New Roman" w:hAnsi="Arial Black" w:cs="Times New Roman"/>
          <w:b/>
          <w:bCs/>
          <w:caps/>
          <w:color w:val="000000"/>
          <w:spacing w:val="15"/>
          <w:sz w:val="17"/>
          <w:szCs w:val="17"/>
        </w:rPr>
        <w:t>Art, Music, and Media</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Media</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Hamlet </w:t>
      </w:r>
      <w:r w:rsidRPr="00191BAD">
        <w:rPr>
          <w:rFonts w:ascii="Verdana" w:eastAsia="Times New Roman" w:hAnsi="Verdana" w:cs="Times New Roman"/>
          <w:color w:val="595959"/>
          <w:sz w:val="17"/>
          <w:szCs w:val="17"/>
        </w:rPr>
        <w:t>(1964)</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Hamlet </w:t>
      </w:r>
      <w:r w:rsidRPr="00191BAD">
        <w:rPr>
          <w:rFonts w:ascii="Verdana" w:eastAsia="Times New Roman" w:hAnsi="Verdana" w:cs="Times New Roman"/>
          <w:color w:val="595959"/>
          <w:sz w:val="17"/>
          <w:szCs w:val="17"/>
        </w:rPr>
        <w:t>(1948)</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Man of La Mancha </w:t>
      </w:r>
      <w:r w:rsidRPr="00191BAD">
        <w:rPr>
          <w:rFonts w:ascii="Verdana" w:eastAsia="Times New Roman" w:hAnsi="Verdana" w:cs="Times New Roman"/>
          <w:color w:val="595959"/>
          <w:sz w:val="17"/>
          <w:szCs w:val="17"/>
        </w:rPr>
        <w:t>(1972)</w:t>
      </w:r>
    </w:p>
    <w:p w:rsidR="00191BAD" w:rsidRPr="00191BAD" w:rsidRDefault="00191BAD" w:rsidP="00191BAD">
      <w:pPr>
        <w:numPr>
          <w:ilvl w:val="2"/>
          <w:numId w:val="1"/>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Dale Wasserman, </w:t>
      </w:r>
      <w:r w:rsidRPr="00191BAD">
        <w:rPr>
          <w:rFonts w:ascii="Verdana" w:eastAsia="Times New Roman" w:hAnsi="Verdana" w:cs="Times New Roman"/>
          <w:i/>
          <w:iCs/>
          <w:color w:val="595959"/>
          <w:sz w:val="17"/>
          <w:szCs w:val="17"/>
        </w:rPr>
        <w:t xml:space="preserve">Man of La Mancha, </w:t>
      </w:r>
      <w:r w:rsidRPr="00191BAD">
        <w:rPr>
          <w:rFonts w:ascii="Verdana" w:eastAsia="Times New Roman" w:hAnsi="Verdana" w:cs="Times New Roman"/>
          <w:color w:val="595959"/>
          <w:sz w:val="17"/>
          <w:szCs w:val="17"/>
        </w:rPr>
        <w:t>the musical</w:t>
      </w:r>
    </w:p>
    <w:p w:rsidR="00191BAD" w:rsidRPr="00191BAD" w:rsidRDefault="00191BAD" w:rsidP="00191BA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20"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21"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Sample Activities and Assessments</w:t>
      </w:r>
    </w:p>
    <w:p w:rsidR="00191BAD" w:rsidRPr="00191BAD" w:rsidRDefault="00191BAD" w:rsidP="00191BAD">
      <w:pPr>
        <w:numPr>
          <w:ilvl w:val="1"/>
          <w:numId w:val="1"/>
        </w:numPr>
        <w:spacing w:after="120" w:line="255" w:lineRule="atLeast"/>
        <w:ind w:left="3180"/>
        <w:textAlignment w:val="top"/>
        <w:rPr>
          <w:rFonts w:ascii="Verdana" w:eastAsia="Times New Roman" w:hAnsi="Verdana" w:cs="Times New Roman"/>
          <w:color w:val="595959"/>
          <w:sz w:val="17"/>
          <w:szCs w:val="17"/>
        </w:rPr>
      </w:pPr>
      <w:r w:rsidRPr="00191BAD">
        <w:rPr>
          <w:rFonts w:ascii="Verdana" w:eastAsia="Times New Roman" w:hAnsi="Verdana" w:cs="Times New Roman"/>
          <w:i/>
          <w:iCs/>
          <w:color w:val="595959"/>
          <w:sz w:val="17"/>
          <w:szCs w:val="17"/>
        </w:rPr>
        <w:t xml:space="preserve">Note: 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hyperlink r:id="rId22" w:tgtFrame="_blank" w:history="1">
        <w:r w:rsidRPr="00191BAD">
          <w:rPr>
            <w:rFonts w:ascii="Verdana" w:eastAsia="Times New Roman" w:hAnsi="Verdana" w:cs="Times New Roman"/>
            <w:i/>
            <w:iCs/>
            <w:color w:val="000000"/>
            <w:sz w:val="17"/>
            <w:szCs w:val="17"/>
            <w:u w:val="single"/>
          </w:rPr>
          <w:t>here</w:t>
        </w:r>
      </w:hyperlink>
      <w:r w:rsidRPr="00191BAD">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w:t>
      </w:r>
      <w:r w:rsidRPr="00191BAD">
        <w:rPr>
          <w:rFonts w:ascii="Verdana" w:eastAsia="Times New Roman" w:hAnsi="Verdana" w:cs="Times New Roman"/>
          <w:i/>
          <w:iCs/>
          <w:color w:val="595959"/>
          <w:sz w:val="17"/>
          <w:szCs w:val="17"/>
        </w:rPr>
        <w:lastRenderedPageBreak/>
        <w:t>the use of evidence, for example, to determine the likely length of good essays.  In future iterations of these maps, links to samples of student work will be provided.</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Collaborate</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Analyze “The Flea.” Why is it considered metaphysical poetry? How does it use irony to convey its message? Is it a poem of logic or of emotion? Use textual evidence to discuss and write or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w:t>
      </w:r>
      <w:proofErr w:type="gramStart"/>
      <w:r w:rsidRPr="00191BAD">
        <w:rPr>
          <w:rFonts w:ascii="Verdana" w:eastAsia="Times New Roman" w:hAnsi="Verdana" w:cs="Times New Roman"/>
          <w:i/>
          <w:iCs/>
          <w:color w:val="595959"/>
          <w:sz w:val="17"/>
          <w:szCs w:val="17"/>
        </w:rPr>
        <w:t>The</w:t>
      </w:r>
      <w:proofErr w:type="gramEnd"/>
      <w:r w:rsidRPr="00191BAD">
        <w:rPr>
          <w:rFonts w:ascii="Verdana" w:eastAsia="Times New Roman" w:hAnsi="Verdana" w:cs="Times New Roman"/>
          <w:i/>
          <w:iCs/>
          <w:color w:val="595959"/>
          <w:sz w:val="17"/>
          <w:szCs w:val="17"/>
        </w:rPr>
        <w:t xml:space="preserve"> Pilgrim’s Progress</w:t>
      </w:r>
      <w:r w:rsidRPr="00191BAD">
        <w:rPr>
          <w:rFonts w:ascii="Verdana" w:eastAsia="Times New Roman" w:hAnsi="Verdana" w:cs="Times New Roman"/>
          <w:color w:val="595959"/>
          <w:sz w:val="17"/>
          <w:szCs w:val="17"/>
        </w:rPr>
        <w:t>. Consider the text as an allegory. What themes do the characters represent? How do these characters work together to create an allegory? What does the allegory reveal about Bunyun’s point of view on religious ideas of the seventeenth century? Use textual evidence from the novel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w:t>
      </w:r>
      <w:r w:rsidRPr="00191BAD">
        <w:rPr>
          <w:rFonts w:ascii="Verdana" w:eastAsia="Times New Roman" w:hAnsi="Verdana" w:cs="Times New Roman"/>
          <w:i/>
          <w:iCs/>
          <w:color w:val="595959"/>
          <w:sz w:val="17"/>
          <w:szCs w:val="17"/>
        </w:rPr>
        <w:t>The Alchemist</w:t>
      </w:r>
      <w:r w:rsidRPr="00191BAD">
        <w:rPr>
          <w:rFonts w:ascii="Verdana" w:eastAsia="Times New Roman" w:hAnsi="Verdana" w:cs="Times New Roman"/>
          <w:color w:val="595959"/>
          <w:sz w:val="17"/>
          <w:szCs w:val="17"/>
        </w:rPr>
        <w:t>. How does the plotline reveal satire? What values of this time period are being mocked? How does the author use satire to reveal his point of view? Use textual evidence from the play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w:t>
      </w:r>
      <w:r w:rsidRPr="00191BAD">
        <w:rPr>
          <w:rFonts w:ascii="Verdana" w:eastAsia="Times New Roman" w:hAnsi="Verdana" w:cs="Times New Roman"/>
          <w:i/>
          <w:iCs/>
          <w:color w:val="595959"/>
          <w:sz w:val="17"/>
          <w:szCs w:val="17"/>
        </w:rPr>
        <w:t>The Miser</w:t>
      </w:r>
      <w:r w:rsidRPr="00191BAD">
        <w:rPr>
          <w:rFonts w:ascii="Verdana" w:eastAsia="Times New Roman" w:hAnsi="Verdana" w:cs="Times New Roman"/>
          <w:color w:val="595959"/>
          <w:sz w:val="17"/>
          <w:szCs w:val="17"/>
        </w:rPr>
        <w:t xml:space="preserve"> by Molière. How does the plotline reveal satire? What values of this time period are being mocked? How does the satire reveal Molière’s point of view? Use textual evidence from the play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Analyze Donne’s “Holy Sonnet 10</w:t>
      </w:r>
      <w:r w:rsidRPr="00191BAD">
        <w:rPr>
          <w:rFonts w:ascii="Verdana" w:eastAsia="Times New Roman" w:hAnsi="Verdana" w:cs="Times New Roman"/>
          <w:i/>
          <w:iCs/>
          <w:color w:val="595959"/>
          <w:sz w:val="17"/>
          <w:szCs w:val="17"/>
        </w:rPr>
        <w:t>.</w:t>
      </w:r>
      <w:r w:rsidRPr="00191BAD">
        <w:rPr>
          <w:rFonts w:ascii="Verdana" w:eastAsia="Times New Roman" w:hAnsi="Verdana" w:cs="Times New Roman"/>
          <w:color w:val="595959"/>
          <w:sz w:val="17"/>
          <w:szCs w:val="17"/>
        </w:rPr>
        <w:t xml:space="preserve">” Is the speaker of the poem pious or irreverent of the church’s teachings? How does personification convey its message? Why </w:t>
      </w:r>
      <w:proofErr w:type="gramStart"/>
      <w:r w:rsidRPr="00191BAD">
        <w:rPr>
          <w:rFonts w:ascii="Verdana" w:eastAsia="Times New Roman" w:hAnsi="Verdana" w:cs="Times New Roman"/>
          <w:color w:val="595959"/>
          <w:sz w:val="17"/>
          <w:szCs w:val="17"/>
        </w:rPr>
        <w:t>is the poem</w:t>
      </w:r>
      <w:proofErr w:type="gramEnd"/>
      <w:r w:rsidRPr="00191BAD">
        <w:rPr>
          <w:rFonts w:ascii="Verdana" w:eastAsia="Times New Roman" w:hAnsi="Verdana" w:cs="Times New Roman"/>
          <w:color w:val="595959"/>
          <w:sz w:val="17"/>
          <w:szCs w:val="17"/>
        </w:rPr>
        <w:t xml:space="preserve"> considered metaphysical? Cite specific textual evidence from the poem to support an original, concise thesis.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Read Donne’s “Song: Goe, and catche a falling starre.” Is the point of view a cynical one? Or is its point of view realistic? Does it build upon religious views or does it depart from church teachings? How does emotion affect the logic of the speaker? Use textual evidence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Compare and contrast Donne’s “Song Goe, and catche a falling starre” to Marvell’s “To his Coy Mistress.” How do emotion and logic affect the speaker’s point of view in each poem? How does gender affect the author’s attitudes? Use textual evidence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w:t>
      </w:r>
      <w:r w:rsidRPr="00191BAD">
        <w:rPr>
          <w:rFonts w:ascii="Verdana" w:eastAsia="Times New Roman" w:hAnsi="Verdana" w:cs="Times New Roman"/>
          <w:i/>
          <w:iCs/>
          <w:color w:val="595959"/>
          <w:sz w:val="17"/>
          <w:szCs w:val="17"/>
        </w:rPr>
        <w:t>Hamlet</w:t>
      </w:r>
      <w:r w:rsidRPr="00191BAD">
        <w:rPr>
          <w:rFonts w:ascii="Verdana" w:eastAsia="Times New Roman" w:hAnsi="Verdana" w:cs="Times New Roman"/>
          <w:color w:val="595959"/>
          <w:sz w:val="17"/>
          <w:szCs w:val="17"/>
        </w:rPr>
        <w:t>. With special consideration to his soliloquies, is Prince Hamlet influenced by his sense of logic or sense of emotion? Use specific textual evidence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lastRenderedPageBreak/>
        <w:t xml:space="preserve">Read </w:t>
      </w:r>
      <w:r w:rsidRPr="00191BAD">
        <w:rPr>
          <w:rFonts w:ascii="Verdana" w:eastAsia="Times New Roman" w:hAnsi="Verdana" w:cs="Times New Roman"/>
          <w:i/>
          <w:iCs/>
          <w:color w:val="595959"/>
          <w:sz w:val="17"/>
          <w:szCs w:val="17"/>
        </w:rPr>
        <w:t>King Lear</w:t>
      </w:r>
      <w:r w:rsidRPr="00191BAD">
        <w:rPr>
          <w:rFonts w:ascii="Verdana" w:eastAsia="Times New Roman" w:hAnsi="Verdana" w:cs="Times New Roman"/>
          <w:color w:val="595959"/>
          <w:sz w:val="17"/>
          <w:szCs w:val="17"/>
        </w:rPr>
        <w:t>. In the beginning of the play, is King Lear motivated by his sense of reason or by emotion? By the end of the play, how has King Lear resolved his emotional needs with his rational thought?  Consider the same question for Edmund, Edgar, Regan, Goneril and/or Cordelia. Use textual evidence to support an original, concise thesis statement.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excerpts of the </w:t>
      </w:r>
      <w:r w:rsidRPr="00191BAD">
        <w:rPr>
          <w:rFonts w:ascii="Verdana" w:eastAsia="Times New Roman" w:hAnsi="Verdana" w:cs="Times New Roman"/>
          <w:i/>
          <w:iCs/>
          <w:color w:val="595959"/>
          <w:sz w:val="17"/>
          <w:szCs w:val="17"/>
        </w:rPr>
        <w:t>Leviathan</w:t>
      </w:r>
      <w:r w:rsidRPr="00191BAD">
        <w:rPr>
          <w:rFonts w:ascii="Verdana" w:eastAsia="Times New Roman" w:hAnsi="Verdana" w:cs="Times New Roman"/>
          <w:color w:val="595959"/>
          <w:sz w:val="17"/>
          <w:szCs w:val="17"/>
        </w:rPr>
        <w:t>. Agree or disagree with Hobbes’s assessment of human nature. Defend your opinion with specific textual evidence that supports an original, concise thesis. (W.11-12.1,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 xml:space="preserve">Read excerpts from </w:t>
      </w:r>
      <w:r w:rsidRPr="00191BAD">
        <w:rPr>
          <w:rFonts w:ascii="Verdana" w:eastAsia="Times New Roman" w:hAnsi="Verdana" w:cs="Times New Roman"/>
          <w:i/>
          <w:iCs/>
          <w:color w:val="595959"/>
          <w:sz w:val="17"/>
          <w:szCs w:val="17"/>
        </w:rPr>
        <w:t>Don Quixote</w:t>
      </w:r>
      <w:r w:rsidRPr="00191BAD">
        <w:rPr>
          <w:rFonts w:ascii="Verdana" w:eastAsia="Times New Roman" w:hAnsi="Verdana" w:cs="Times New Roman"/>
          <w:color w:val="595959"/>
          <w:sz w:val="17"/>
          <w:szCs w:val="17"/>
        </w:rPr>
        <w:t xml:space="preserve"> and/or watch the film version of </w:t>
      </w:r>
      <w:r w:rsidRPr="00191BAD">
        <w:rPr>
          <w:rFonts w:ascii="Verdana" w:eastAsia="Times New Roman" w:hAnsi="Verdana" w:cs="Times New Roman"/>
          <w:i/>
          <w:iCs/>
          <w:color w:val="595959"/>
          <w:sz w:val="17"/>
          <w:szCs w:val="17"/>
        </w:rPr>
        <w:t>Man of La Mancha</w:t>
      </w:r>
      <w:r w:rsidRPr="00191BAD">
        <w:rPr>
          <w:rFonts w:ascii="Verdana" w:eastAsia="Times New Roman" w:hAnsi="Verdana" w:cs="Times New Roman"/>
          <w:color w:val="595959"/>
          <w:sz w:val="17"/>
          <w:szCs w:val="17"/>
        </w:rPr>
        <w:t>. Compare Don Quixote’s outlook on life with those of another character, such as the priest. Use textual evidence citing either the novel or the film to support an original, concise thesis statement. (RL.11-12.1, W.11-12.5, W.11-12.7)</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Seminar and Essay</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Analyze “To Daffodils,”“To the Virgins Make Much of Time,”and “To His Coy Mistress.” Compare the message and intention of each. Do these poems appeal to human emotion or human logic to convey their ideas? Use textual evidence from two or more poems to write a comparative essay. Be sure your thesis is specific, concise, and original. (W.11-12.5, W.11-12.7, SL.11-12.1, SL.11-12.2)</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Speech</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Select a poem or excerpt from a longer poem and recite it from memory.  Include an introduction that states:</w:t>
      </w:r>
    </w:p>
    <w:p w:rsidR="00191BAD" w:rsidRPr="00191BAD" w:rsidRDefault="00191BAD" w:rsidP="00191BAD">
      <w:pPr>
        <w:numPr>
          <w:ilvl w:val="2"/>
          <w:numId w:val="2"/>
        </w:numPr>
        <w:spacing w:after="45" w:line="255" w:lineRule="atLeast"/>
        <w:ind w:left="3405" w:hanging="36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What the excerpt is from;</w:t>
      </w:r>
    </w:p>
    <w:p w:rsidR="00191BAD" w:rsidRPr="00191BAD" w:rsidRDefault="00191BAD" w:rsidP="00191BAD">
      <w:pPr>
        <w:numPr>
          <w:ilvl w:val="2"/>
          <w:numId w:val="2"/>
        </w:numPr>
        <w:spacing w:after="45" w:line="255" w:lineRule="atLeast"/>
        <w:ind w:left="3405" w:hanging="36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Who wrote it;</w:t>
      </w:r>
    </w:p>
    <w:p w:rsidR="00191BAD" w:rsidRPr="00191BAD" w:rsidRDefault="00191BAD" w:rsidP="00191BAD">
      <w:pPr>
        <w:numPr>
          <w:ilvl w:val="2"/>
          <w:numId w:val="2"/>
        </w:numPr>
        <w:spacing w:after="45" w:line="255" w:lineRule="atLeast"/>
        <w:ind w:left="3405" w:hanging="360"/>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What kind of poetry it exemplifies and why. (SL.11-12.6)</w:t>
      </w:r>
    </w:p>
    <w:p w:rsidR="00191BAD" w:rsidRPr="00191BAD" w:rsidRDefault="00191BAD" w:rsidP="00191BAD">
      <w:pPr>
        <w:spacing w:after="60" w:line="240" w:lineRule="atLeast"/>
        <w:textAlignment w:val="top"/>
        <w:outlineLvl w:val="4"/>
        <w:rPr>
          <w:rFonts w:ascii="Georgia" w:eastAsia="Times New Roman" w:hAnsi="Georgia" w:cs="Times New Roman"/>
          <w:b/>
          <w:bCs/>
          <w:color w:val="842A30"/>
          <w:sz w:val="21"/>
          <w:szCs w:val="21"/>
        </w:rPr>
      </w:pPr>
      <w:r w:rsidRPr="00191BAD">
        <w:rPr>
          <w:rFonts w:ascii="Georgia" w:eastAsia="Times New Roman" w:hAnsi="Georgia" w:cs="Times New Roman"/>
          <w:b/>
          <w:bCs/>
          <w:color w:val="842A30"/>
          <w:sz w:val="21"/>
          <w:szCs w:val="21"/>
        </w:rPr>
        <w:t>Research Paper</w:t>
      </w:r>
    </w:p>
    <w:p w:rsidR="00191BAD" w:rsidRPr="00191BAD" w:rsidRDefault="00191BAD" w:rsidP="00191BAD">
      <w:pPr>
        <w:spacing w:after="120" w:line="255" w:lineRule="atLeast"/>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Using multiple texts from this unit and additional sources, discuss howwriters of the seventeenth century regard the relationship between reason and emotion. Include an original, concise thesis statement that directly answers this essential question. </w:t>
      </w:r>
    </w:p>
    <w:p w:rsidR="00191BAD" w:rsidRPr="00191BAD" w:rsidRDefault="00191BAD" w:rsidP="00191BAD">
      <w:pPr>
        <w:shd w:val="clear" w:color="auto" w:fill="EFF3F4"/>
        <w:spacing w:line="255" w:lineRule="atLeast"/>
        <w:textAlignment w:val="top"/>
        <w:rPr>
          <w:rFonts w:ascii="Verdana" w:eastAsia="Times New Roman" w:hAnsi="Verdana" w:cs="Times New Roman"/>
          <w:color w:val="595959"/>
          <w:sz w:val="17"/>
          <w:szCs w:val="17"/>
        </w:rPr>
      </w:pPr>
      <w:hyperlink r:id="rId23" w:history="1">
        <w:r w:rsidRPr="00191BAD">
          <w:rPr>
            <w:rFonts w:ascii="Verdana" w:eastAsia="Times New Roman" w:hAnsi="Verdana" w:cs="Times New Roman"/>
            <w:color w:val="000000"/>
            <w:sz w:val="17"/>
            <w:szCs w:val="17"/>
            <w:u w:val="single"/>
          </w:rPr>
          <w:t>Scoring Rubric</w:t>
        </w:r>
      </w:hyperlink>
    </w:p>
    <w:p w:rsidR="00191BAD" w:rsidRPr="00191BAD" w:rsidRDefault="00191BAD" w:rsidP="00191BAD">
      <w:pPr>
        <w:numPr>
          <w:ilvl w:val="0"/>
          <w:numId w:val="2"/>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2"/>
        </w:numPr>
        <w:spacing w:after="0" w:line="270" w:lineRule="atLeast"/>
        <w:ind w:left="3180"/>
        <w:textAlignment w:val="top"/>
        <w:rPr>
          <w:rFonts w:ascii="Georgia" w:eastAsia="Times New Roman" w:hAnsi="Georgia" w:cs="Times New Roman"/>
          <w:color w:val="595959"/>
          <w:sz w:val="21"/>
          <w:szCs w:val="21"/>
        </w:rPr>
      </w:pPr>
      <w:hyperlink r:id="rId24"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25"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26"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Additional Resources</w:t>
      </w:r>
    </w:p>
    <w:p w:rsidR="00191BAD" w:rsidRPr="00191BAD" w:rsidRDefault="00191BAD" w:rsidP="00191BAD">
      <w:pPr>
        <w:numPr>
          <w:ilvl w:val="1"/>
          <w:numId w:val="2"/>
        </w:numPr>
        <w:spacing w:after="180" w:line="255" w:lineRule="atLeast"/>
        <w:ind w:left="3405"/>
        <w:textAlignment w:val="top"/>
        <w:rPr>
          <w:rFonts w:ascii="Verdana" w:eastAsia="Times New Roman" w:hAnsi="Verdana" w:cs="Times New Roman"/>
          <w:color w:val="595959"/>
          <w:sz w:val="17"/>
          <w:szCs w:val="17"/>
        </w:rPr>
      </w:pP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191BAD">
          <w:rPr>
            <w:rFonts w:ascii="Verdana" w:eastAsia="Times New Roman" w:hAnsi="Verdana" w:cs="Times New Roman"/>
            <w:b/>
            <w:bCs/>
            <w:color w:val="000000"/>
            <w:sz w:val="17"/>
            <w:szCs w:val="17"/>
            <w:u w:val="single"/>
          </w:rPr>
          <w:t>Exploring Don Quixote</w:t>
        </w:r>
      </w:hyperlink>
      <w:r w:rsidRPr="00191BAD">
        <w:rPr>
          <w:rFonts w:ascii="Verdana" w:eastAsia="Times New Roman" w:hAnsi="Verdana" w:cs="Times New Roman"/>
          <w:b/>
          <w:bCs/>
          <w:color w:val="595959"/>
          <w:sz w:val="17"/>
          <w:szCs w:val="17"/>
        </w:rPr>
        <w:t xml:space="preserve"> </w:t>
      </w:r>
      <w:r w:rsidRPr="00191BAD">
        <w:rPr>
          <w:rFonts w:ascii="Verdana" w:eastAsia="Times New Roman" w:hAnsi="Verdana" w:cs="Times New Roman"/>
          <w:color w:val="595959"/>
          <w:sz w:val="17"/>
          <w:szCs w:val="17"/>
        </w:rPr>
        <w:t>(ArtsEdge, The Kennedy Center) (RL.11-12.1, RL.11-12.10</w:t>
      </w:r>
      <w:proofErr w:type="gramStart"/>
      <w:r w:rsidRPr="00191BAD">
        <w:rPr>
          <w:rFonts w:ascii="Verdana" w:eastAsia="Times New Roman" w:hAnsi="Verdana" w:cs="Times New Roman"/>
          <w:color w:val="595959"/>
          <w:sz w:val="17"/>
          <w:szCs w:val="17"/>
        </w:rPr>
        <w:t>)</w:t>
      </w:r>
      <w:proofErr w:type="gramEnd"/>
      <w:r w:rsidRPr="00191BAD">
        <w:rPr>
          <w:rFonts w:ascii="Verdana" w:eastAsia="Times New Roman" w:hAnsi="Verdana" w:cs="Times New Roman"/>
          <w:color w:val="595959"/>
          <w:sz w:val="17"/>
          <w:szCs w:val="17"/>
        </w:rPr>
        <w:br/>
        <w:t>A website by ArtsEdge devoted to Don Quixote and Cervantes. It includes lesson plans for a full unit on the novel.</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hyperlink r:id="rId28" w:tgtFrame="_blank" w:history="1">
        <w:r w:rsidRPr="00191BAD">
          <w:rPr>
            <w:rFonts w:ascii="Verdana" w:eastAsia="Times New Roman" w:hAnsi="Verdana" w:cs="Times New Roman"/>
            <w:b/>
            <w:bCs/>
            <w:color w:val="000000"/>
            <w:sz w:val="17"/>
            <w:szCs w:val="17"/>
            <w:u w:val="single"/>
          </w:rPr>
          <w:t>Hamlet and the Elizabethan Revenge Ethic in Text and Film</w:t>
        </w:r>
      </w:hyperlink>
      <w:r w:rsidRPr="00191BAD">
        <w:rPr>
          <w:rFonts w:ascii="Verdana" w:eastAsia="Times New Roman" w:hAnsi="Verdana" w:cs="Times New Roman"/>
          <w:b/>
          <w:bCs/>
          <w:color w:val="595959"/>
          <w:sz w:val="17"/>
          <w:szCs w:val="17"/>
        </w:rPr>
        <w:t> </w:t>
      </w:r>
      <w:r w:rsidRPr="00191BAD">
        <w:rPr>
          <w:rFonts w:ascii="Verdana" w:eastAsia="Times New Roman" w:hAnsi="Verdana" w:cs="Times New Roman"/>
          <w:color w:val="595959"/>
          <w:sz w:val="17"/>
          <w:szCs w:val="17"/>
        </w:rPr>
        <w:t>(National Endowment for the Humanities) (RL.11-12.1, RL.11-12.7, RL.11-12.10</w:t>
      </w:r>
      <w:proofErr w:type="gramStart"/>
      <w:r w:rsidRPr="00191BAD">
        <w:rPr>
          <w:rFonts w:ascii="Verdana" w:eastAsia="Times New Roman" w:hAnsi="Verdana" w:cs="Times New Roman"/>
          <w:color w:val="595959"/>
          <w:sz w:val="17"/>
          <w:szCs w:val="17"/>
        </w:rPr>
        <w:t>)</w:t>
      </w:r>
      <w:proofErr w:type="gramEnd"/>
      <w:r w:rsidRPr="00191BAD">
        <w:rPr>
          <w:rFonts w:ascii="Verdana" w:eastAsia="Times New Roman" w:hAnsi="Verdana" w:cs="Times New Roman"/>
          <w:color w:val="595959"/>
          <w:sz w:val="17"/>
          <w:szCs w:val="17"/>
        </w:rPr>
        <w:br/>
        <w:t xml:space="preserve">This lesson investigates the complex nature of revenge as it is portrayed in Shakespeare's </w:t>
      </w:r>
      <w:r w:rsidRPr="00191BAD">
        <w:rPr>
          <w:rFonts w:ascii="Verdana" w:eastAsia="Times New Roman" w:hAnsi="Verdana" w:cs="Times New Roman"/>
          <w:i/>
          <w:iCs/>
          <w:color w:val="595959"/>
          <w:sz w:val="17"/>
          <w:szCs w:val="17"/>
        </w:rPr>
        <w:t>The Tragedy of Hamlet, Prince of Denmark</w:t>
      </w:r>
      <w:r w:rsidRPr="00191BAD">
        <w:rPr>
          <w:rFonts w:ascii="Verdana" w:eastAsia="Times New Roman" w:hAnsi="Verdana" w:cs="Times New Roman"/>
          <w:color w:val="595959"/>
          <w:sz w:val="17"/>
          <w:szCs w:val="17"/>
        </w:rPr>
        <w:t xml:space="preserve">. Students learn how Shakespeare's play interprets Elizabethan attitudes toward revenge, as reflected in the structure of </w:t>
      </w:r>
      <w:r w:rsidRPr="00191BAD">
        <w:rPr>
          <w:rFonts w:ascii="Verdana" w:eastAsia="Times New Roman" w:hAnsi="Verdana" w:cs="Times New Roman"/>
          <w:color w:val="595959"/>
          <w:sz w:val="17"/>
          <w:szCs w:val="17"/>
        </w:rPr>
        <w:lastRenderedPageBreak/>
        <w:t>the Elizabethan revenge tragedy, one of the most popular forms of drama of that era. </w:t>
      </w:r>
    </w:p>
    <w:p w:rsidR="00191BAD" w:rsidRPr="00191BAD" w:rsidRDefault="00191BAD" w:rsidP="00191BAD">
      <w:pPr>
        <w:numPr>
          <w:ilvl w:val="0"/>
          <w:numId w:val="3"/>
        </w:numPr>
        <w:spacing w:after="45" w:line="270" w:lineRule="atLeast"/>
        <w:ind w:left="3180"/>
        <w:textAlignment w:val="top"/>
        <w:rPr>
          <w:rFonts w:ascii="Georgia" w:eastAsia="Times New Roman" w:hAnsi="Georgia" w:cs="Times New Roman"/>
          <w:color w:val="595959"/>
          <w:sz w:val="21"/>
          <w:szCs w:val="21"/>
        </w:rPr>
      </w:pPr>
    </w:p>
    <w:p w:rsidR="00191BAD" w:rsidRPr="00191BAD" w:rsidRDefault="00191BAD" w:rsidP="00191BAD">
      <w:pPr>
        <w:numPr>
          <w:ilvl w:val="0"/>
          <w:numId w:val="3"/>
        </w:numPr>
        <w:spacing w:after="0" w:line="270" w:lineRule="atLeast"/>
        <w:ind w:left="3180"/>
        <w:textAlignment w:val="top"/>
        <w:rPr>
          <w:rFonts w:ascii="Georgia" w:eastAsia="Times New Roman" w:hAnsi="Georgia" w:cs="Times New Roman"/>
          <w:color w:val="595959"/>
          <w:sz w:val="21"/>
          <w:szCs w:val="21"/>
        </w:rPr>
      </w:pPr>
      <w:hyperlink r:id="rId29" w:history="1">
        <w:r w:rsidRPr="00191BAD">
          <w:rPr>
            <w:rFonts w:ascii="Verdana" w:eastAsia="Times New Roman" w:hAnsi="Verdana" w:cs="Times New Roman"/>
            <w:color w:val="000000"/>
            <w:sz w:val="17"/>
            <w:szCs w:val="17"/>
          </w:rPr>
          <w:t>Show All</w:t>
        </w:r>
      </w:hyperlink>
      <w:r w:rsidRPr="00191BAD">
        <w:rPr>
          <w:rFonts w:ascii="Verdana" w:eastAsia="Times New Roman" w:hAnsi="Verdana" w:cs="Times New Roman"/>
          <w:color w:val="867F69"/>
          <w:sz w:val="17"/>
          <w:szCs w:val="17"/>
        </w:rPr>
        <w:t xml:space="preserve"> | </w:t>
      </w:r>
      <w:hyperlink r:id="rId30" w:history="1">
        <w:r w:rsidRPr="00191BAD">
          <w:rPr>
            <w:rFonts w:ascii="Verdana" w:eastAsia="Times New Roman" w:hAnsi="Verdana" w:cs="Times New Roman"/>
            <w:color w:val="000000"/>
            <w:sz w:val="17"/>
            <w:szCs w:val="17"/>
          </w:rPr>
          <w:t>Hide All</w:t>
        </w:r>
      </w:hyperlink>
      <w:r w:rsidRPr="00191BAD">
        <w:rPr>
          <w:rFonts w:ascii="Verdana" w:eastAsia="Times New Roman" w:hAnsi="Verdana" w:cs="Times New Roman"/>
          <w:color w:val="867F69"/>
          <w:sz w:val="17"/>
          <w:szCs w:val="17"/>
        </w:rPr>
        <w:t xml:space="preserve"> | </w:t>
      </w:r>
      <w:hyperlink r:id="rId31" w:anchor="top" w:history="1">
        <w:r w:rsidRPr="00191BAD">
          <w:rPr>
            <w:rFonts w:ascii="Verdana" w:eastAsia="Times New Roman" w:hAnsi="Verdana" w:cs="Times New Roman"/>
            <w:color w:val="000000"/>
            <w:sz w:val="17"/>
            <w:szCs w:val="17"/>
          </w:rPr>
          <w:t>Top</w:t>
        </w:r>
      </w:hyperlink>
      <w:r w:rsidRPr="00191BAD">
        <w:rPr>
          <w:rFonts w:ascii="Georgia" w:eastAsia="Times New Roman" w:hAnsi="Georgia" w:cs="Times New Roman"/>
          <w:color w:val="595959"/>
          <w:sz w:val="21"/>
          <w:szCs w:val="21"/>
        </w:rPr>
        <w:t xml:space="preserve"> </w:t>
      </w:r>
    </w:p>
    <w:p w:rsidR="00191BAD" w:rsidRPr="00191BAD" w:rsidRDefault="00191BAD" w:rsidP="00191BA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91BAD">
        <w:rPr>
          <w:rFonts w:ascii="Georgia" w:eastAsia="Times New Roman" w:hAnsi="Georgia" w:cs="Times New Roman"/>
          <w:b/>
          <w:bCs/>
          <w:caps/>
          <w:color w:val="FFFFFF"/>
          <w:spacing w:val="15"/>
          <w:sz w:val="26"/>
          <w:szCs w:val="26"/>
        </w:rPr>
        <w:t>Terminology</w:t>
      </w:r>
    </w:p>
    <w:p w:rsidR="00191BAD" w:rsidRPr="00191BAD" w:rsidRDefault="00191BAD" w:rsidP="00191BAD">
      <w:pPr>
        <w:numPr>
          <w:ilvl w:val="1"/>
          <w:numId w:val="3"/>
        </w:numPr>
        <w:spacing w:after="180" w:line="255" w:lineRule="atLeast"/>
        <w:ind w:left="3405"/>
        <w:textAlignment w:val="top"/>
        <w:rPr>
          <w:rFonts w:ascii="Verdana" w:eastAsia="Times New Roman" w:hAnsi="Verdana" w:cs="Times New Roman"/>
          <w:color w:val="595959"/>
          <w:sz w:val="17"/>
          <w:szCs w:val="17"/>
        </w:rPr>
      </w:pP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aesthetics</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allegory</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allusion</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argumentation</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authorial intent</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blank verse</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conceit</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dissent</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doubt</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dramatic irony</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enlightenment</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ethics</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fate</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free will</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“in medias res”</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inductive reasoning</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metaphysical poetry</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paradox</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personification</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rationalism</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satire</w:t>
      </w:r>
    </w:p>
    <w:p w:rsidR="00191BAD" w:rsidRPr="00191BAD" w:rsidRDefault="00191BAD" w:rsidP="00191BAD">
      <w:pPr>
        <w:numPr>
          <w:ilvl w:val="2"/>
          <w:numId w:val="3"/>
        </w:numPr>
        <w:spacing w:after="45" w:line="255" w:lineRule="atLeast"/>
        <w:ind w:left="3405"/>
        <w:textAlignment w:val="top"/>
        <w:rPr>
          <w:rFonts w:ascii="Verdana" w:eastAsia="Times New Roman" w:hAnsi="Verdana" w:cs="Times New Roman"/>
          <w:color w:val="595959"/>
          <w:sz w:val="17"/>
          <w:szCs w:val="17"/>
        </w:rPr>
      </w:pPr>
      <w:r w:rsidRPr="00191BAD">
        <w:rPr>
          <w:rFonts w:ascii="Verdana" w:eastAsia="Times New Roman" w:hAnsi="Verdana" w:cs="Times New Roman"/>
          <w:color w:val="595959"/>
          <w:sz w:val="17"/>
          <w:szCs w:val="17"/>
        </w:rPr>
        <w:t>tragic flaw</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14"/>
    <w:multiLevelType w:val="multilevel"/>
    <w:tmpl w:val="0EAC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AD"/>
    <w:rsid w:val="00005EC0"/>
    <w:rsid w:val="0019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8611">
      <w:bodyDiv w:val="1"/>
      <w:marLeft w:val="0"/>
      <w:marRight w:val="0"/>
      <w:marTop w:val="0"/>
      <w:marBottom w:val="0"/>
      <w:divBdr>
        <w:top w:val="none" w:sz="0" w:space="0" w:color="auto"/>
        <w:left w:val="none" w:sz="0" w:space="0" w:color="auto"/>
        <w:bottom w:val="none" w:sz="0" w:space="0" w:color="auto"/>
        <w:right w:val="none" w:sz="0" w:space="0" w:color="auto"/>
      </w:divBdr>
      <w:divsChild>
        <w:div w:id="830366284">
          <w:marLeft w:val="0"/>
          <w:marRight w:val="0"/>
          <w:marTop w:val="0"/>
          <w:marBottom w:val="0"/>
          <w:divBdr>
            <w:top w:val="none" w:sz="0" w:space="0" w:color="auto"/>
            <w:left w:val="none" w:sz="0" w:space="0" w:color="auto"/>
            <w:bottom w:val="none" w:sz="0" w:space="0" w:color="auto"/>
            <w:right w:val="none" w:sz="0" w:space="0" w:color="auto"/>
          </w:divBdr>
          <w:divsChild>
            <w:div w:id="1707172579">
              <w:marLeft w:val="0"/>
              <w:marRight w:val="0"/>
              <w:marTop w:val="0"/>
              <w:marBottom w:val="0"/>
              <w:divBdr>
                <w:top w:val="none" w:sz="0" w:space="0" w:color="auto"/>
                <w:left w:val="none" w:sz="0" w:space="0" w:color="auto"/>
                <w:bottom w:val="none" w:sz="0" w:space="0" w:color="auto"/>
                <w:right w:val="none" w:sz="0" w:space="0" w:color="auto"/>
              </w:divBdr>
              <w:divsChild>
                <w:div w:id="1884367414">
                  <w:marLeft w:val="0"/>
                  <w:marRight w:val="0"/>
                  <w:marTop w:val="0"/>
                  <w:marBottom w:val="0"/>
                  <w:divBdr>
                    <w:top w:val="none" w:sz="0" w:space="0" w:color="auto"/>
                    <w:left w:val="none" w:sz="0" w:space="0" w:color="auto"/>
                    <w:bottom w:val="none" w:sz="0" w:space="0" w:color="auto"/>
                    <w:right w:val="none" w:sz="0" w:space="0" w:color="auto"/>
                  </w:divBdr>
                  <w:divsChild>
                    <w:div w:id="648293906">
                      <w:marLeft w:val="3180"/>
                      <w:marRight w:val="0"/>
                      <w:marTop w:val="0"/>
                      <w:marBottom w:val="0"/>
                      <w:divBdr>
                        <w:top w:val="none" w:sz="0" w:space="0" w:color="auto"/>
                        <w:left w:val="none" w:sz="0" w:space="0" w:color="auto"/>
                        <w:bottom w:val="none" w:sz="0" w:space="0" w:color="auto"/>
                        <w:right w:val="none" w:sz="0" w:space="0" w:color="auto"/>
                      </w:divBdr>
                      <w:divsChild>
                        <w:div w:id="49229939">
                          <w:marLeft w:val="0"/>
                          <w:marRight w:val="0"/>
                          <w:marTop w:val="0"/>
                          <w:marBottom w:val="210"/>
                          <w:divBdr>
                            <w:top w:val="single" w:sz="6" w:space="0" w:color="DCD6C6"/>
                            <w:left w:val="single" w:sz="6" w:space="7" w:color="DCD6C6"/>
                            <w:bottom w:val="single" w:sz="6" w:space="0" w:color="DCD6C6"/>
                            <w:right w:val="single" w:sz="6" w:space="4" w:color="DCD6C6"/>
                          </w:divBdr>
                        </w:div>
                        <w:div w:id="1335648637">
                          <w:marLeft w:val="0"/>
                          <w:marRight w:val="0"/>
                          <w:marTop w:val="225"/>
                          <w:marBottom w:val="210"/>
                          <w:divBdr>
                            <w:top w:val="none" w:sz="0" w:space="0" w:color="auto"/>
                            <w:left w:val="none" w:sz="0" w:space="0" w:color="auto"/>
                            <w:bottom w:val="none" w:sz="0" w:space="0" w:color="auto"/>
                            <w:right w:val="none" w:sz="0" w:space="0" w:color="auto"/>
                          </w:divBdr>
                        </w:div>
                        <w:div w:id="250087876">
                          <w:marLeft w:val="0"/>
                          <w:marRight w:val="0"/>
                          <w:marTop w:val="0"/>
                          <w:marBottom w:val="210"/>
                          <w:divBdr>
                            <w:top w:val="single" w:sz="6" w:space="0" w:color="DCD6C6"/>
                            <w:left w:val="single" w:sz="6" w:space="7" w:color="DCD6C6"/>
                            <w:bottom w:val="single" w:sz="6" w:space="0" w:color="DCD6C6"/>
                            <w:right w:val="single" w:sz="6" w:space="4" w:color="DCD6C6"/>
                          </w:divBdr>
                        </w:div>
                        <w:div w:id="790324806">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3/" TargetMode="External"/><Relationship Id="rId13" Type="http://schemas.openxmlformats.org/officeDocument/2006/relationships/hyperlink" Target="http://commoncore.org/free/index.php/maps/grade_12_unit_3/" TargetMode="External"/><Relationship Id="rId18" Type="http://schemas.openxmlformats.org/officeDocument/2006/relationships/hyperlink" Target="http://commoncore.org/free/index.php/maps/grade_12_unit_3/" TargetMode="External"/><Relationship Id="rId26" Type="http://schemas.openxmlformats.org/officeDocument/2006/relationships/hyperlink" Target="http://commoncore.org/free/index.php/maps/grade_12_unit_3/" TargetMode="External"/><Relationship Id="rId3" Type="http://schemas.microsoft.com/office/2007/relationships/stylesWithEffects" Target="stylesWithEffects.xml"/><Relationship Id="rId21" Type="http://schemas.openxmlformats.org/officeDocument/2006/relationships/hyperlink" Target="http://commoncore.org/free/index.php/maps/grade_12_unit_3/" TargetMode="External"/><Relationship Id="rId7" Type="http://schemas.openxmlformats.org/officeDocument/2006/relationships/hyperlink" Target="http://commoncore.org/free/index.php/maps/grade_12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3/" TargetMode="External"/><Relationship Id="rId25" Type="http://schemas.openxmlformats.org/officeDocument/2006/relationships/hyperlink" Target="http://commoncore.org/free/index.php/maps/grade_12_unit_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2_unit_3/" TargetMode="External"/><Relationship Id="rId20" Type="http://schemas.openxmlformats.org/officeDocument/2006/relationships/hyperlink" Target="http://commoncore.org/free/index.php/maps/grade_12_unit_3/" TargetMode="External"/><Relationship Id="rId29" Type="http://schemas.openxmlformats.org/officeDocument/2006/relationships/hyperlink" Target="http://commoncore.org/free/index.php/maps/grade_12_unit_3/" TargetMode="External"/><Relationship Id="rId1" Type="http://schemas.openxmlformats.org/officeDocument/2006/relationships/numbering" Target="numbering.xml"/><Relationship Id="rId6" Type="http://schemas.openxmlformats.org/officeDocument/2006/relationships/hyperlink" Target="http://commoncore.org/free/index.php/maps/grade_12_unit_3/" TargetMode="External"/><Relationship Id="rId11" Type="http://schemas.openxmlformats.org/officeDocument/2006/relationships/hyperlink" Target="http://commoncore.org/free/index.php/maps/grade_12_unit_3/" TargetMode="External"/><Relationship Id="rId24" Type="http://schemas.openxmlformats.org/officeDocument/2006/relationships/hyperlink" Target="http://commoncore.org/free/index.php/maps/grade_12_unit_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2_unit_3/" TargetMode="External"/><Relationship Id="rId23" Type="http://schemas.openxmlformats.org/officeDocument/2006/relationships/hyperlink" Target="http://commoncore.org/free/resources/Socratic_Seminar_Rubric_SP.doc" TargetMode="External"/><Relationship Id="rId28" Type="http://schemas.openxmlformats.org/officeDocument/2006/relationships/hyperlink" Target="http://edsitement.neh.gov/view_lesson_plan.asp?id=395" TargetMode="External"/><Relationship Id="rId10" Type="http://schemas.openxmlformats.org/officeDocument/2006/relationships/hyperlink" Target="http://commoncore.org/free/index.php/maps/grade_12_unit_3/" TargetMode="External"/><Relationship Id="rId19" Type="http://schemas.openxmlformats.org/officeDocument/2006/relationships/hyperlink" Target="http://commoncore.org/free/index.php/maps/grade_12_unit_3/" TargetMode="External"/><Relationship Id="rId31" Type="http://schemas.openxmlformats.org/officeDocument/2006/relationships/hyperlink" Target="http://commoncore.org/free/index.php/maps/grade_12_unit_3/" TargetMode="External"/><Relationship Id="rId4" Type="http://schemas.openxmlformats.org/officeDocument/2006/relationships/settings" Target="settings.xml"/><Relationship Id="rId9" Type="http://schemas.openxmlformats.org/officeDocument/2006/relationships/hyperlink" Target="http://commoncore.org/free/index.php/maps/grade_12_unit_3/" TargetMode="External"/><Relationship Id="rId14" Type="http://schemas.openxmlformats.org/officeDocument/2006/relationships/hyperlink" Target="http://commoncore.org/free/index.php/maps/grade_12_unit_3/" TargetMode="External"/><Relationship Id="rId22" Type="http://schemas.openxmlformats.org/officeDocument/2006/relationships/hyperlink" Target="http://commoncore.org/free/index.php/maps/grade_12_unit_3/" TargetMode="External"/><Relationship Id="rId27" Type="http://schemas.openxmlformats.org/officeDocument/2006/relationships/hyperlink" Target="http://artsedge.kennedy-center.org/exploring/donq/artsedge.html" TargetMode="External"/><Relationship Id="rId30" Type="http://schemas.openxmlformats.org/officeDocument/2006/relationships/hyperlink" Target="http://commoncore.org/free/index.php/maps/grade_12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12026</Characters>
  <Application>Microsoft Office Word</Application>
  <DocSecurity>0</DocSecurity>
  <Lines>100</Lines>
  <Paragraphs>28</Paragraphs>
  <ScaleCrop>false</ScaleCrop>
  <Company>CGRESD</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2011-10-13T13:13:00Z</dcterms:created>
  <dcterms:modified xsi:type="dcterms:W3CDTF">2011-10-13T13:13:00Z</dcterms:modified>
</cp:coreProperties>
</file>