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B7" w:rsidRPr="002961B7" w:rsidRDefault="002961B7" w:rsidP="002961B7">
      <w:pPr>
        <w:spacing w:after="120" w:line="570" w:lineRule="atLeast"/>
        <w:outlineLvl w:val="0"/>
        <w:rPr>
          <w:rFonts w:ascii="Georgia" w:eastAsia="Times New Roman" w:hAnsi="Georgia" w:cs="Times New Roman"/>
          <w:b/>
          <w:bCs/>
          <w:color w:val="571C1F"/>
          <w:kern w:val="36"/>
          <w:sz w:val="51"/>
          <w:szCs w:val="51"/>
        </w:rPr>
      </w:pPr>
      <w:r w:rsidRPr="002961B7">
        <w:rPr>
          <w:rFonts w:ascii="Georgia" w:eastAsia="Times New Roman" w:hAnsi="Georgia" w:cs="Times New Roman"/>
          <w:b/>
          <w:bCs/>
          <w:color w:val="571C1F"/>
          <w:kern w:val="36"/>
          <w:sz w:val="51"/>
          <w:szCs w:val="51"/>
        </w:rPr>
        <w:t>World Literature: Asia</w:t>
      </w:r>
    </w:p>
    <w:p w:rsidR="002961B7" w:rsidRPr="002961B7" w:rsidRDefault="002961B7" w:rsidP="002961B7">
      <w:pPr>
        <w:spacing w:after="330" w:line="345" w:lineRule="atLeast"/>
        <w:outlineLvl w:val="1"/>
        <w:rPr>
          <w:rFonts w:ascii="Georgia" w:eastAsia="Times New Roman" w:hAnsi="Georgia" w:cs="Times New Roman"/>
          <w:b/>
          <w:bCs/>
          <w:color w:val="A99F86"/>
          <w:sz w:val="29"/>
          <w:szCs w:val="29"/>
        </w:rPr>
      </w:pPr>
      <w:r w:rsidRPr="002961B7">
        <w:rPr>
          <w:rFonts w:ascii="Georgia" w:eastAsia="Times New Roman" w:hAnsi="Georgia" w:cs="Times New Roman"/>
          <w:b/>
          <w:bCs/>
          <w:color w:val="A99F86"/>
          <w:sz w:val="29"/>
          <w:szCs w:val="29"/>
        </w:rPr>
        <w:t>In this twelve-week unit, students read and discuss ancient and modern Asian literature, especially from China, India, and Japan.</w:t>
      </w: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7"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8"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Overview</w:t>
      </w:r>
    </w:p>
    <w:p w:rsidR="002961B7" w:rsidRPr="002961B7" w:rsidRDefault="002961B7" w:rsidP="002961B7">
      <w:pPr>
        <w:numPr>
          <w:ilvl w:val="1"/>
          <w:numId w:val="1"/>
        </w:numPr>
        <w:spacing w:after="120" w:line="255" w:lineRule="atLeast"/>
        <w:ind w:left="3180"/>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Through reading the diverse selections in this unit, students consider the role of ancient philosophies, universal themes, Western influence, and historical change in these works. In addition, students listen to recordings of some of the poems in the original language, so that they may appreciate their sounds, structures, and rhythms.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Note: the tenth-grade World Literature course consists of three twelve-week units. Four units have been provided (Russia; Africa and the Middle East; Asia; and Latin America); schools may select three out of the four. The middle unit will likely cross from one semester into another; teachers should divide it accordingly.</w:t>
      </w: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10"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11"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Focus Standards</w:t>
      </w:r>
    </w:p>
    <w:p w:rsidR="002961B7" w:rsidRPr="002961B7" w:rsidRDefault="002961B7" w:rsidP="002961B7">
      <w:pPr>
        <w:numPr>
          <w:ilvl w:val="1"/>
          <w:numId w:val="1"/>
        </w:numPr>
        <w:spacing w:before="75" w:line="255" w:lineRule="atLeast"/>
        <w:ind w:left="3180"/>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These Focus Standards have been selected for the unit from the Common Core State Standards.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 xml:space="preserve">RL.9-10.2: </w:t>
      </w:r>
      <w:r w:rsidRPr="002961B7">
        <w:rPr>
          <w:rFonts w:ascii="Verdana" w:eastAsia="Times New Roman" w:hAnsi="Verdana" w:cs="Times New Roman"/>
          <w:color w:val="595959"/>
          <w:sz w:val="17"/>
          <w:szCs w:val="17"/>
        </w:rPr>
        <w:t>Determine a theme or central idea of a textand analyze in detail its development over the course of the text, including how it emerges and is shaped and refined by specific details; provide an objective summary of the text.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 xml:space="preserve">RL.9-10.5: </w:t>
      </w:r>
      <w:r w:rsidRPr="002961B7">
        <w:rPr>
          <w:rFonts w:ascii="Verdana" w:eastAsia="Times New Roman" w:hAnsi="Verdana" w:cs="Times New Roman"/>
          <w:color w:val="595959"/>
          <w:sz w:val="17"/>
          <w:szCs w:val="17"/>
        </w:rPr>
        <w:t>Analyze how an author’s choices concerning how to structure a text, order events within it (e.g., parallel plots), and manipulate time (e.g., pacing, flashbacks) create such effects as mystery, tension, or surprise.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RI.9-10.1:</w:t>
      </w:r>
      <w:r w:rsidRPr="002961B7">
        <w:rPr>
          <w:rFonts w:ascii="Verdana" w:eastAsia="Times New Roman" w:hAnsi="Verdana" w:cs="Times New Roman"/>
          <w:color w:val="595959"/>
          <w:sz w:val="17"/>
          <w:szCs w:val="17"/>
        </w:rPr>
        <w:t xml:space="preserve"> Cite strong and thorough textual evidence to support analysis of what the text says explicitly as well as inferences drawn from the text.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RI.9-10.4:</w:t>
      </w:r>
      <w:r w:rsidRPr="002961B7">
        <w:rPr>
          <w:rFonts w:ascii="Verdana" w:eastAsia="Times New Roman" w:hAnsi="Verdana" w:cs="Times New Roman"/>
          <w:color w:val="595959"/>
          <w:sz w:val="17"/>
          <w:szCs w:val="17"/>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W.9-10.7:</w:t>
      </w:r>
      <w:r w:rsidRPr="002961B7">
        <w:rPr>
          <w:rFonts w:ascii="Verdana" w:eastAsia="Times New Roman" w:hAnsi="Verdana" w:cs="Times New Roman"/>
          <w:color w:val="595959"/>
          <w:sz w:val="17"/>
          <w:szCs w:val="17"/>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lastRenderedPageBreak/>
        <w:t xml:space="preserve">W.9-10.10: </w:t>
      </w:r>
      <w:r w:rsidRPr="002961B7">
        <w:rPr>
          <w:rFonts w:ascii="Verdana" w:eastAsia="Times New Roman" w:hAnsi="Verdana" w:cs="Times New Roman"/>
          <w:color w:val="595959"/>
          <w:sz w:val="17"/>
          <w:szCs w:val="17"/>
        </w:rPr>
        <w:t>Write routinely over extended time frames (time for research, reflection, and revision) and shorter time frames (a single sitting or a day or two) for a range of tasks, purposes, and audiences.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SL.9-10.1:</w:t>
      </w:r>
      <w:r w:rsidRPr="002961B7">
        <w:rPr>
          <w:rFonts w:ascii="Verdana" w:eastAsia="Times New Roman" w:hAnsi="Verdana" w:cs="Times New Roman"/>
          <w:color w:val="595959"/>
          <w:sz w:val="17"/>
          <w:szCs w:val="17"/>
        </w:rPr>
        <w:t xml:space="preserve"> Initiate and participate effectively in a range of collaborative discussions (one-on-one, in groups, and teacher-led) with diverse partners on </w:t>
      </w:r>
      <w:r w:rsidRPr="002961B7">
        <w:rPr>
          <w:rFonts w:ascii="Verdana" w:eastAsia="Times New Roman" w:hAnsi="Verdana" w:cs="Times New Roman"/>
          <w:i/>
          <w:iCs/>
          <w:color w:val="595959"/>
          <w:sz w:val="17"/>
          <w:szCs w:val="17"/>
        </w:rPr>
        <w:t xml:space="preserve">grades 9–10 topics, texts, and issues, </w:t>
      </w:r>
      <w:r w:rsidRPr="002961B7">
        <w:rPr>
          <w:rFonts w:ascii="Verdana" w:eastAsia="Times New Roman" w:hAnsi="Verdana" w:cs="Times New Roman"/>
          <w:color w:val="595959"/>
          <w:sz w:val="17"/>
          <w:szCs w:val="17"/>
        </w:rPr>
        <w:t>building on others’ ideas and expressing their own clearly and persuasively.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b/>
          <w:bCs/>
          <w:color w:val="595959"/>
          <w:sz w:val="17"/>
          <w:szCs w:val="17"/>
        </w:rPr>
        <w:t xml:space="preserve">L.9-10.2: </w:t>
      </w:r>
      <w:r w:rsidRPr="002961B7">
        <w:rPr>
          <w:rFonts w:ascii="Verdana" w:eastAsia="Times New Roman" w:hAnsi="Verdana" w:cs="Times New Roman"/>
          <w:color w:val="595959"/>
          <w:sz w:val="17"/>
          <w:szCs w:val="17"/>
        </w:rPr>
        <w:t>Demonstrate command of the conventions of standard English capitalization, punctuation, and spelling when writing.</w:t>
      </w:r>
    </w:p>
    <w:p w:rsidR="002961B7" w:rsidRPr="002961B7" w:rsidRDefault="002961B7" w:rsidP="002961B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2961B7">
          <w:rPr>
            <w:rFonts w:ascii="Verdana" w:eastAsia="Times New Roman" w:hAnsi="Verdana" w:cs="Times New Roman"/>
            <w:color w:val="000000"/>
            <w:sz w:val="17"/>
            <w:szCs w:val="17"/>
            <w:u w:val="single"/>
          </w:rPr>
          <w:t>Common Core State Standards, ELA</w:t>
        </w:r>
      </w:hyperlink>
      <w:r w:rsidRPr="002961B7">
        <w:rPr>
          <w:rFonts w:ascii="Verdana" w:eastAsia="Times New Roman" w:hAnsi="Verdana" w:cs="Times New Roman"/>
          <w:color w:val="595959"/>
          <w:sz w:val="17"/>
          <w:szCs w:val="17"/>
        </w:rPr>
        <w:t xml:space="preserve"> (1.5 MB)</w:t>
      </w: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14"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15"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Suggested Student Objectives</w:t>
      </w:r>
    </w:p>
    <w:p w:rsidR="002961B7" w:rsidRPr="002961B7" w:rsidRDefault="002961B7" w:rsidP="002961B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Explore ancient and modern works of literature from Asian countries, particularly China, India, and Japan.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Consider how Asian literature both draws on and questions cultural traditions.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Consider how certain Asian authors integrate Western literary influences into their cultural contexts.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Compare two or more translations of a single poem.</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Write a close literary analysis of a work of poetry, fiction, or drama, considering language use and literary elements.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Offer insightful inferences regarding the themes of the text.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Create a clear, original, specific thesis statement.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Organize concrete evidence and supporting textual details to support a thesis statement.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Use precise language, avoiding casual language and clichés.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Write appropriate transitions to organize paragraphs.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Analyze how philosophy influences literature.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Understand how literary devices convey theme.</w:t>
      </w: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17"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18"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Suggested Works</w:t>
      </w:r>
    </w:p>
    <w:p w:rsidR="002961B7" w:rsidRPr="002961B7" w:rsidRDefault="002961B7" w:rsidP="002961B7">
      <w:pPr>
        <w:numPr>
          <w:ilvl w:val="1"/>
          <w:numId w:val="1"/>
        </w:numPr>
        <w:spacing w:before="75" w:line="255" w:lineRule="atLeast"/>
        <w:ind w:left="3180"/>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(E) indicates a CCSS exemplar text; (EA) indicates a text from a writer with other works identified as exemplars.</w:t>
      </w:r>
    </w:p>
    <w:p w:rsidR="002961B7" w:rsidRPr="002961B7" w:rsidRDefault="002961B7" w:rsidP="002961B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961B7">
        <w:rPr>
          <w:rFonts w:ascii="Arial Black" w:eastAsia="Times New Roman" w:hAnsi="Arial Black" w:cs="Times New Roman"/>
          <w:b/>
          <w:bCs/>
          <w:caps/>
          <w:color w:val="000000"/>
          <w:spacing w:val="15"/>
          <w:sz w:val="17"/>
          <w:szCs w:val="17"/>
        </w:rPr>
        <w:t>Literary Texts</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Note:  This unit should include excerpts from an ancient work; one novel; one play; several short stories; and a long poem or selection of poems. The teacher may choose two novels or two plays instead of one novel and one play. In addition, students should consult informational texts and secondary sources, online and in the library, for their essays.</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lastRenderedPageBreak/>
        <w:t>Novels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China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Dream of the Red Chamber </w:t>
      </w:r>
      <w:r w:rsidRPr="002961B7">
        <w:rPr>
          <w:rFonts w:ascii="Verdana" w:eastAsia="Times New Roman" w:hAnsi="Verdana" w:cs="Times New Roman"/>
          <w:color w:val="595959"/>
          <w:sz w:val="17"/>
          <w:szCs w:val="17"/>
        </w:rPr>
        <w:t>(Cao Xueqin) (selections)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Family </w:t>
      </w:r>
      <w:r w:rsidRPr="002961B7">
        <w:rPr>
          <w:rFonts w:ascii="Verdana" w:eastAsia="Times New Roman" w:hAnsi="Verdana" w:cs="Times New Roman"/>
          <w:color w:val="595959"/>
          <w:sz w:val="17"/>
          <w:szCs w:val="17"/>
        </w:rPr>
        <w:t>(Pa Jin)</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India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Midnight’s Children </w:t>
      </w:r>
      <w:r w:rsidRPr="002961B7">
        <w:rPr>
          <w:rFonts w:ascii="Verdana" w:eastAsia="Times New Roman" w:hAnsi="Verdana" w:cs="Times New Roman"/>
          <w:color w:val="595959"/>
          <w:sz w:val="17"/>
          <w:szCs w:val="17"/>
        </w:rPr>
        <w:t>(Salman Rushdie)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In Custody </w:t>
      </w:r>
      <w:r w:rsidRPr="002961B7">
        <w:rPr>
          <w:rFonts w:ascii="Verdana" w:eastAsia="Times New Roman" w:hAnsi="Verdana" w:cs="Times New Roman"/>
          <w:color w:val="595959"/>
          <w:sz w:val="17"/>
          <w:szCs w:val="17"/>
        </w:rPr>
        <w:t>(Anita Desai)</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Nectar in a Sieve </w:t>
      </w:r>
      <w:r w:rsidRPr="002961B7">
        <w:rPr>
          <w:rFonts w:ascii="Verdana" w:eastAsia="Times New Roman" w:hAnsi="Verdana" w:cs="Times New Roman"/>
          <w:color w:val="595959"/>
          <w:sz w:val="17"/>
          <w:szCs w:val="17"/>
        </w:rPr>
        <w:t>(Kamala Markandaya)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God of Small Things </w:t>
      </w:r>
      <w:r w:rsidRPr="002961B7">
        <w:rPr>
          <w:rFonts w:ascii="Verdana" w:eastAsia="Times New Roman" w:hAnsi="Verdana" w:cs="Times New Roman"/>
          <w:color w:val="595959"/>
          <w:sz w:val="17"/>
          <w:szCs w:val="17"/>
        </w:rPr>
        <w:t>(Arundhati Roy)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Japan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Sound of Waves </w:t>
      </w:r>
      <w:r w:rsidRPr="002961B7">
        <w:rPr>
          <w:rFonts w:ascii="Verdana" w:eastAsia="Times New Roman" w:hAnsi="Verdana" w:cs="Times New Roman"/>
          <w:color w:val="595959"/>
          <w:sz w:val="17"/>
          <w:szCs w:val="17"/>
        </w:rPr>
        <w:t>(Yukio Mishima)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After Dark </w:t>
      </w:r>
      <w:r w:rsidRPr="002961B7">
        <w:rPr>
          <w:rFonts w:ascii="Verdana" w:eastAsia="Times New Roman" w:hAnsi="Verdana" w:cs="Times New Roman"/>
          <w:color w:val="595959"/>
          <w:sz w:val="17"/>
          <w:szCs w:val="17"/>
        </w:rPr>
        <w:t>(Haruki Murakami)</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Norwegian Wood </w:t>
      </w:r>
      <w:r w:rsidRPr="002961B7">
        <w:rPr>
          <w:rFonts w:ascii="Verdana" w:eastAsia="Times New Roman" w:hAnsi="Verdana" w:cs="Times New Roman"/>
          <w:color w:val="595959"/>
          <w:sz w:val="17"/>
          <w:szCs w:val="17"/>
        </w:rPr>
        <w:t>(Haruki Murakami)</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Short Stories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China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Strange Tales from a Chinese Studio </w:t>
      </w:r>
      <w:r w:rsidRPr="002961B7">
        <w:rPr>
          <w:rFonts w:ascii="Verdana" w:eastAsia="Times New Roman" w:hAnsi="Verdana" w:cs="Times New Roman"/>
          <w:color w:val="595959"/>
          <w:sz w:val="17"/>
          <w:szCs w:val="17"/>
        </w:rPr>
        <w:t>(Pu Songling, ed.)</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Under The Red Flag </w:t>
      </w:r>
      <w:r w:rsidRPr="002961B7">
        <w:rPr>
          <w:rFonts w:ascii="Verdana" w:eastAsia="Times New Roman" w:hAnsi="Verdana" w:cs="Times New Roman"/>
          <w:color w:val="595959"/>
          <w:sz w:val="17"/>
          <w:szCs w:val="17"/>
        </w:rPr>
        <w:t>(Ha Jin) (selections)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Japan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Rashomon and Other Stories</w:t>
      </w:r>
      <w:r w:rsidRPr="002961B7">
        <w:rPr>
          <w:rFonts w:ascii="Verdana" w:eastAsia="Times New Roman" w:hAnsi="Verdana" w:cs="Times New Roman"/>
          <w:color w:val="595959"/>
          <w:sz w:val="17"/>
          <w:szCs w:val="17"/>
        </w:rPr>
        <w:t xml:space="preserve"> (Ryunosuke Akutagawa)</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Vietnam</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General Retires and Other Stories </w:t>
      </w:r>
      <w:r w:rsidRPr="002961B7">
        <w:rPr>
          <w:rFonts w:ascii="Verdana" w:eastAsia="Times New Roman" w:hAnsi="Verdana" w:cs="Times New Roman"/>
          <w:color w:val="595959"/>
          <w:sz w:val="17"/>
          <w:szCs w:val="17"/>
        </w:rPr>
        <w:t>(Nguyen Huy Thiep)</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Plays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China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Thunderstorm</w:t>
      </w:r>
      <w:r w:rsidRPr="002961B7">
        <w:rPr>
          <w:rFonts w:ascii="Verdana" w:eastAsia="Times New Roman" w:hAnsi="Verdana" w:cs="Times New Roman"/>
          <w:color w:val="595959"/>
          <w:sz w:val="17"/>
          <w:szCs w:val="17"/>
        </w:rPr>
        <w:t xml:space="preserve"> (Cao Yu)</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India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Post Office </w:t>
      </w:r>
      <w:r w:rsidRPr="002961B7">
        <w:rPr>
          <w:rFonts w:ascii="Verdana" w:eastAsia="Times New Roman" w:hAnsi="Verdana" w:cs="Times New Roman"/>
          <w:color w:val="595959"/>
          <w:sz w:val="17"/>
          <w:szCs w:val="17"/>
        </w:rPr>
        <w:t>(Rabindranath Tagore) (EA)</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Poems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Sanskrit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 Excerpts from the </w:t>
      </w:r>
      <w:r w:rsidRPr="002961B7">
        <w:rPr>
          <w:rFonts w:ascii="Verdana" w:eastAsia="Times New Roman" w:hAnsi="Verdana" w:cs="Times New Roman"/>
          <w:i/>
          <w:iCs/>
          <w:color w:val="595959"/>
          <w:sz w:val="17"/>
          <w:szCs w:val="17"/>
        </w:rPr>
        <w:t xml:space="preserve">Ramayana </w:t>
      </w:r>
      <w:r w:rsidRPr="002961B7">
        <w:rPr>
          <w:rFonts w:ascii="Verdana" w:eastAsia="Times New Roman" w:hAnsi="Verdana" w:cs="Times New Roman"/>
          <w:color w:val="595959"/>
          <w:sz w:val="17"/>
          <w:szCs w:val="17"/>
        </w:rPr>
        <w:t>(attributed to the Hindu sage Valmiki)</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China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Jade Mountain: A Chinese Anthology, Being Three Hundred Poems of the T’ang Dynasty 618-906 </w:t>
      </w:r>
      <w:r w:rsidRPr="002961B7">
        <w:rPr>
          <w:rFonts w:ascii="Verdana" w:eastAsia="Times New Roman" w:hAnsi="Verdana" w:cs="Times New Roman"/>
          <w:color w:val="595959"/>
          <w:sz w:val="17"/>
          <w:szCs w:val="17"/>
        </w:rPr>
        <w:t>(Kiang Hang-Hu and Witter Bynner, trans.) (selections)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“A Song of Ch'ang-kan” (Li Po) (E)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“Substance, Shadow, and Spirit” (T’ao Ch’ien)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“On a Gate-tower at Yuzhou” (Chen Zi’ang)</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India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“Song VII” (Rabindranath Tagore) (E)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Golden Craft </w:t>
      </w:r>
      <w:r w:rsidRPr="002961B7">
        <w:rPr>
          <w:rFonts w:ascii="Verdana" w:eastAsia="Times New Roman" w:hAnsi="Verdana" w:cs="Times New Roman"/>
          <w:color w:val="595959"/>
          <w:sz w:val="17"/>
          <w:szCs w:val="17"/>
        </w:rPr>
        <w:t>(Rabindranath Tagore) (EA)</w:t>
      </w:r>
    </w:p>
    <w:p w:rsidR="002961B7" w:rsidRPr="002961B7" w:rsidRDefault="002961B7" w:rsidP="002961B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961B7">
        <w:rPr>
          <w:rFonts w:ascii="Arial Black" w:eastAsia="Times New Roman" w:hAnsi="Arial Black" w:cs="Times New Roman"/>
          <w:b/>
          <w:bCs/>
          <w:caps/>
          <w:color w:val="000000"/>
          <w:spacing w:val="15"/>
          <w:sz w:val="17"/>
          <w:szCs w:val="17"/>
        </w:rPr>
        <w:t>Informational Texts</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lastRenderedPageBreak/>
        <w:t>Informational Text</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The Columbia Companion to Modern East Asian Literature</w:t>
      </w:r>
      <w:r w:rsidRPr="002961B7">
        <w:rPr>
          <w:rFonts w:ascii="Verdana" w:eastAsia="Times New Roman" w:hAnsi="Verdana" w:cs="Times New Roman"/>
          <w:color w:val="595959"/>
          <w:sz w:val="17"/>
          <w:szCs w:val="17"/>
        </w:rPr>
        <w:t xml:space="preserve"> (Joshua Mostow, ed.)</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Historical Dictionary of Modern Japanese Literature and Theater </w:t>
      </w:r>
      <w:r w:rsidRPr="002961B7">
        <w:rPr>
          <w:rFonts w:ascii="Verdana" w:eastAsia="Times New Roman" w:hAnsi="Verdana" w:cs="Times New Roman"/>
          <w:color w:val="595959"/>
          <w:sz w:val="17"/>
          <w:szCs w:val="17"/>
        </w:rPr>
        <w:t>(J. Scott Miller)</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Trading Places: The East India Company and Asia, 1600-1834 </w:t>
      </w:r>
      <w:r w:rsidRPr="002961B7">
        <w:rPr>
          <w:rFonts w:ascii="Verdana" w:eastAsia="Times New Roman" w:hAnsi="Verdana" w:cs="Times New Roman"/>
          <w:color w:val="595959"/>
          <w:sz w:val="17"/>
          <w:szCs w:val="17"/>
        </w:rPr>
        <w:t>(Anthony Farrington)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Scandal of Empire: India and the creation of Imperial Britain </w:t>
      </w:r>
      <w:r w:rsidRPr="002961B7">
        <w:rPr>
          <w:rFonts w:ascii="Verdana" w:eastAsia="Times New Roman" w:hAnsi="Verdana" w:cs="Times New Roman"/>
          <w:color w:val="595959"/>
          <w:sz w:val="17"/>
          <w:szCs w:val="17"/>
        </w:rPr>
        <w:t>(Nicholas B. Dirks)</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Literary Nonfiction</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China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Analects </w:t>
      </w:r>
      <w:r w:rsidRPr="002961B7">
        <w:rPr>
          <w:rFonts w:ascii="Verdana" w:eastAsia="Times New Roman" w:hAnsi="Verdana" w:cs="Times New Roman"/>
          <w:color w:val="595959"/>
          <w:sz w:val="17"/>
          <w:szCs w:val="17"/>
        </w:rPr>
        <w:t>(Confucius) (selections)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I Ching </w:t>
      </w:r>
      <w:r w:rsidRPr="002961B7">
        <w:rPr>
          <w:rFonts w:ascii="Verdana" w:eastAsia="Times New Roman" w:hAnsi="Verdana" w:cs="Times New Roman"/>
          <w:color w:val="595959"/>
          <w:sz w:val="17"/>
          <w:szCs w:val="17"/>
        </w:rPr>
        <w:t>(transmitted by Fei Zhi)</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The Tao Te Ching </w:t>
      </w:r>
      <w:r w:rsidRPr="002961B7">
        <w:rPr>
          <w:rFonts w:ascii="Verdana" w:eastAsia="Times New Roman" w:hAnsi="Verdana" w:cs="Times New Roman"/>
          <w:color w:val="595959"/>
          <w:sz w:val="17"/>
          <w:szCs w:val="17"/>
        </w:rPr>
        <w:t>(Lao Tzu) (selections)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The Tao of Pooh and the Te of Piglet (Benjamin Hoff) (selections)</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Autobiography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Six Records of a Floating Life </w:t>
      </w:r>
      <w:r w:rsidRPr="002961B7">
        <w:rPr>
          <w:rFonts w:ascii="Verdana" w:eastAsia="Times New Roman" w:hAnsi="Verdana" w:cs="Times New Roman"/>
          <w:color w:val="595959"/>
          <w:sz w:val="17"/>
          <w:szCs w:val="17"/>
        </w:rPr>
        <w:t>(Shen Fu) (China)</w:t>
      </w:r>
    </w:p>
    <w:p w:rsidR="002961B7" w:rsidRPr="002961B7" w:rsidRDefault="002961B7" w:rsidP="002961B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961B7">
        <w:rPr>
          <w:rFonts w:ascii="Arial Black" w:eastAsia="Times New Roman" w:hAnsi="Arial Black" w:cs="Times New Roman"/>
          <w:b/>
          <w:bCs/>
          <w:caps/>
          <w:color w:val="000000"/>
          <w:spacing w:val="15"/>
          <w:sz w:val="17"/>
          <w:szCs w:val="17"/>
        </w:rPr>
        <w:t>Art, Music, and Media</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Prompt: How does the study of select Asian objects give us a greater understanding of the depth and diversity of Asian literary forms and genres?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Art</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Japan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Ando Hiroshige, </w:t>
      </w:r>
      <w:hyperlink r:id="rId19" w:history="1">
        <w:r w:rsidRPr="002961B7">
          <w:rPr>
            <w:rFonts w:ascii="Verdana" w:eastAsia="Times New Roman" w:hAnsi="Verdana" w:cs="Times New Roman"/>
            <w:i/>
            <w:iCs/>
            <w:color w:val="000000"/>
            <w:sz w:val="17"/>
            <w:szCs w:val="17"/>
            <w:u w:val="single"/>
          </w:rPr>
          <w:t>One Hundred Views of Edo</w:t>
        </w:r>
      </w:hyperlink>
      <w:r w:rsidRPr="002961B7">
        <w:rPr>
          <w:rFonts w:ascii="Verdana" w:eastAsia="Times New Roman" w:hAnsi="Verdana" w:cs="Times New Roman"/>
          <w:color w:val="595959"/>
          <w:sz w:val="17"/>
          <w:szCs w:val="17"/>
        </w:rPr>
        <w:t xml:space="preserve"> (1856)</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Arita, </w:t>
      </w:r>
      <w:hyperlink r:id="rId20" w:history="1">
        <w:r w:rsidRPr="002961B7">
          <w:rPr>
            <w:rFonts w:ascii="Verdana" w:eastAsia="Times New Roman" w:hAnsi="Verdana" w:cs="Times New Roman"/>
            <w:color w:val="000000"/>
            <w:sz w:val="17"/>
            <w:szCs w:val="17"/>
            <w:u w:val="single"/>
          </w:rPr>
          <w:t>Porcelain plate with design of dragon</w:t>
        </w:r>
      </w:hyperlink>
      <w:r w:rsidRPr="002961B7">
        <w:rPr>
          <w:rFonts w:ascii="Verdana" w:eastAsia="Times New Roman" w:hAnsi="Verdana" w:cs="Times New Roman"/>
          <w:color w:val="595959"/>
          <w:sz w:val="17"/>
          <w:szCs w:val="17"/>
        </w:rPr>
        <w:t xml:space="preserve"> (1690s-1730s)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1" w:history="1">
        <w:r w:rsidRPr="002961B7">
          <w:rPr>
            <w:rFonts w:ascii="Verdana" w:eastAsia="Times New Roman" w:hAnsi="Verdana" w:cs="Times New Roman"/>
            <w:color w:val="000000"/>
            <w:sz w:val="17"/>
            <w:szCs w:val="17"/>
            <w:u w:val="single"/>
          </w:rPr>
          <w:t>Kimono with carp, water lilies, and morning glories</w:t>
        </w:r>
      </w:hyperlink>
      <w:r w:rsidRPr="002961B7">
        <w:rPr>
          <w:rFonts w:ascii="Verdana" w:eastAsia="Times New Roman" w:hAnsi="Verdana" w:cs="Times New Roman"/>
          <w:color w:val="595959"/>
          <w:sz w:val="17"/>
          <w:szCs w:val="17"/>
        </w:rPr>
        <w:t xml:space="preserve"> (1876)</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China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Ma Lin, </w:t>
      </w:r>
      <w:hyperlink r:id="rId22" w:history="1">
        <w:r w:rsidRPr="002961B7">
          <w:rPr>
            <w:rFonts w:ascii="Verdana" w:eastAsia="Times New Roman" w:hAnsi="Verdana" w:cs="Times New Roman"/>
            <w:color w:val="000000"/>
            <w:sz w:val="17"/>
            <w:szCs w:val="17"/>
            <w:u w:val="single"/>
          </w:rPr>
          <w:t>wall scroll</w:t>
        </w:r>
      </w:hyperlink>
      <w:r w:rsidRPr="002961B7">
        <w:rPr>
          <w:rFonts w:ascii="Verdana" w:eastAsia="Times New Roman" w:hAnsi="Verdana" w:cs="Times New Roman"/>
          <w:color w:val="595959"/>
          <w:sz w:val="17"/>
          <w:szCs w:val="17"/>
        </w:rPr>
        <w:t xml:space="preserve"> (1246)</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3" w:history="1">
        <w:r w:rsidRPr="002961B7">
          <w:rPr>
            <w:rFonts w:ascii="Verdana" w:eastAsia="Times New Roman" w:hAnsi="Verdana" w:cs="Times New Roman"/>
            <w:color w:val="000000"/>
            <w:sz w:val="17"/>
            <w:szCs w:val="17"/>
            <w:u w:val="single"/>
          </w:rPr>
          <w:t>Moon-shaped flask with birds</w:t>
        </w:r>
      </w:hyperlink>
      <w:r w:rsidRPr="002961B7">
        <w:rPr>
          <w:rFonts w:ascii="Verdana" w:eastAsia="Times New Roman" w:hAnsi="Verdana" w:cs="Times New Roman"/>
          <w:color w:val="595959"/>
          <w:sz w:val="17"/>
          <w:szCs w:val="17"/>
        </w:rPr>
        <w:t xml:space="preserve"> (1723-1725)</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4" w:history="1">
        <w:r w:rsidRPr="002961B7">
          <w:rPr>
            <w:rFonts w:ascii="Verdana" w:eastAsia="Times New Roman" w:hAnsi="Verdana" w:cs="Times New Roman"/>
            <w:color w:val="000000"/>
            <w:sz w:val="17"/>
            <w:szCs w:val="17"/>
            <w:u w:val="single"/>
          </w:rPr>
          <w:t>Han Clothing</w:t>
        </w:r>
      </w:hyperlink>
      <w:r w:rsidRPr="002961B7">
        <w:rPr>
          <w:rFonts w:ascii="Verdana" w:eastAsia="Times New Roman" w:hAnsi="Verdana" w:cs="Times New Roman"/>
          <w:color w:val="595959"/>
          <w:sz w:val="17"/>
          <w:szCs w:val="17"/>
        </w:rPr>
        <w:t>, pre-17th century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India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5" w:history="1">
        <w:r w:rsidRPr="002961B7">
          <w:rPr>
            <w:rFonts w:ascii="Verdana" w:eastAsia="Times New Roman" w:hAnsi="Verdana" w:cs="Times New Roman"/>
            <w:i/>
            <w:iCs/>
            <w:color w:val="000000"/>
            <w:sz w:val="17"/>
            <w:szCs w:val="17"/>
            <w:u w:val="single"/>
          </w:rPr>
          <w:t>Radha at night</w:t>
        </w:r>
      </w:hyperlink>
      <w:r w:rsidRPr="002961B7">
        <w:rPr>
          <w:rFonts w:ascii="Verdana" w:eastAsia="Times New Roman" w:hAnsi="Verdana" w:cs="Times New Roman"/>
          <w:color w:val="595959"/>
          <w:sz w:val="17"/>
          <w:szCs w:val="17"/>
        </w:rPr>
        <w:t>, Mughal painting (1650)</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history="1">
        <w:r w:rsidRPr="002961B7">
          <w:rPr>
            <w:rFonts w:ascii="Verdana" w:eastAsia="Times New Roman" w:hAnsi="Verdana" w:cs="Times New Roman"/>
            <w:color w:val="000000"/>
            <w:sz w:val="17"/>
            <w:szCs w:val="17"/>
            <w:u w:val="single"/>
          </w:rPr>
          <w:t>Box with lid</w:t>
        </w:r>
      </w:hyperlink>
      <w:r w:rsidRPr="002961B7">
        <w:rPr>
          <w:rFonts w:ascii="Verdana" w:eastAsia="Times New Roman" w:hAnsi="Verdana" w:cs="Times New Roman"/>
          <w:color w:val="595959"/>
          <w:sz w:val="17"/>
          <w:szCs w:val="17"/>
        </w:rPr>
        <w:t>, late 16th century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history="1">
        <w:r w:rsidRPr="002961B7">
          <w:rPr>
            <w:rFonts w:ascii="Verdana" w:eastAsia="Times New Roman" w:hAnsi="Verdana" w:cs="Times New Roman"/>
            <w:i/>
            <w:iCs/>
            <w:color w:val="000000"/>
            <w:sz w:val="17"/>
            <w:szCs w:val="17"/>
            <w:u w:val="single"/>
          </w:rPr>
          <w:t>Princess Damayanthi talking with Royal Swan about Nalan Hindu</w:t>
        </w:r>
      </w:hyperlink>
      <w:r w:rsidRPr="002961B7">
        <w:rPr>
          <w:rFonts w:ascii="Verdana" w:eastAsia="Times New Roman" w:hAnsi="Verdana" w:cs="Times New Roman"/>
          <w:color w:val="595959"/>
          <w:sz w:val="17"/>
          <w:szCs w:val="17"/>
        </w:rPr>
        <w:t xml:space="preserve"> (no date)</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Media</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Chinese Poems of the Tang and Sung Dynasties: Read by Lo Kung-Yuan in Northern Chinese, Peking Dialect </w:t>
      </w:r>
      <w:r w:rsidRPr="002961B7">
        <w:rPr>
          <w:rFonts w:ascii="Verdana" w:eastAsia="Times New Roman" w:hAnsi="Verdana" w:cs="Times New Roman"/>
          <w:color w:val="595959"/>
          <w:sz w:val="17"/>
          <w:szCs w:val="17"/>
        </w:rPr>
        <w:t>(Folkways Records, 1963)</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Film</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Rashomon </w:t>
      </w:r>
      <w:r w:rsidRPr="002961B7">
        <w:rPr>
          <w:rFonts w:ascii="Verdana" w:eastAsia="Times New Roman" w:hAnsi="Verdana" w:cs="Times New Roman"/>
          <w:color w:val="595959"/>
          <w:sz w:val="17"/>
          <w:szCs w:val="17"/>
        </w:rPr>
        <w:t>(1950) (Akira Kurosawa, dir.)</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i/>
          <w:iCs/>
          <w:color w:val="595959"/>
          <w:sz w:val="17"/>
          <w:szCs w:val="17"/>
        </w:rPr>
        <w:t xml:space="preserve">Curse of the Golden Flower </w:t>
      </w:r>
      <w:r w:rsidRPr="002961B7">
        <w:rPr>
          <w:rFonts w:ascii="Verdana" w:eastAsia="Times New Roman" w:hAnsi="Verdana" w:cs="Times New Roman"/>
          <w:color w:val="595959"/>
          <w:sz w:val="17"/>
          <w:szCs w:val="17"/>
        </w:rPr>
        <w:t>(2006) (Zhang Yimou, dir.)</w:t>
      </w: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29"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30"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Sample Activities and Assessments</w:t>
      </w:r>
    </w:p>
    <w:p w:rsidR="002961B7" w:rsidRPr="002961B7" w:rsidRDefault="002961B7" w:rsidP="002961B7">
      <w:pPr>
        <w:numPr>
          <w:ilvl w:val="1"/>
          <w:numId w:val="1"/>
        </w:numPr>
        <w:spacing w:after="120" w:line="255" w:lineRule="atLeast"/>
        <w:ind w:left="3180"/>
        <w:textAlignment w:val="top"/>
        <w:rPr>
          <w:rFonts w:ascii="Verdana" w:eastAsia="Times New Roman" w:hAnsi="Verdana" w:cs="Times New Roman"/>
          <w:color w:val="595959"/>
          <w:sz w:val="17"/>
          <w:szCs w:val="17"/>
        </w:rPr>
      </w:pPr>
      <w:r w:rsidRPr="002961B7">
        <w:rPr>
          <w:rFonts w:ascii="Verdana" w:eastAsia="Times New Roman" w:hAnsi="Verdana" w:cs="Times New Roman"/>
          <w:b/>
          <w:bCs/>
          <w:i/>
          <w:iCs/>
          <w:color w:val="595959"/>
          <w:sz w:val="17"/>
          <w:szCs w:val="17"/>
        </w:rPr>
        <w:t>Teachers Note:</w:t>
      </w:r>
      <w:r w:rsidRPr="002961B7">
        <w:rPr>
          <w:rFonts w:ascii="Verdana" w:eastAsia="Times New Roman" w:hAnsi="Verdana" w:cs="Times New Roman"/>
          <w:i/>
          <w:iCs/>
          <w:color w:val="595959"/>
          <w:sz w:val="17"/>
          <w:szCs w:val="17"/>
        </w:rPr>
        <w:t xml:space="preserve"> 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2961B7">
        <w:rPr>
          <w:rFonts w:ascii="Verdana" w:eastAsia="Times New Roman" w:hAnsi="Verdana" w:cs="Times New Roman"/>
          <w:i/>
          <w:iCs/>
          <w:color w:val="595959"/>
          <w:sz w:val="17"/>
          <w:szCs w:val="17"/>
          <w:u w:val="single"/>
        </w:rPr>
        <w:t>here</w:t>
      </w:r>
      <w:r w:rsidRPr="002961B7">
        <w:rPr>
          <w:rFonts w:ascii="Verdana" w:eastAsia="Times New Roman" w:hAnsi="Verdana" w:cs="Times New Roman"/>
          <w:color w:val="595959"/>
          <w:sz w:val="17"/>
          <w:szCs w:val="17"/>
        </w:rPr>
        <w:t xml:space="preserve"> </w:t>
      </w:r>
      <w:r w:rsidRPr="002961B7">
        <w:rPr>
          <w:rFonts w:ascii="Verdana" w:eastAsia="Times New Roman" w:hAnsi="Verdana" w:cs="Times New Roman"/>
          <w:i/>
          <w:iCs/>
          <w:color w:val="595959"/>
          <w:sz w:val="17"/>
          <w:szCs w:val="17"/>
        </w:rPr>
        <w:t>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Collaborate</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(RL.9-10.1, SL.9-10.1)</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Analyze Akutagawa’s story “In a Bamboo Grove” and Kurosawa’s film </w:t>
      </w:r>
      <w:r w:rsidRPr="002961B7">
        <w:rPr>
          <w:rFonts w:ascii="Verdana" w:eastAsia="Times New Roman" w:hAnsi="Verdana" w:cs="Times New Roman"/>
          <w:i/>
          <w:iCs/>
          <w:color w:val="595959"/>
          <w:sz w:val="17"/>
          <w:szCs w:val="17"/>
        </w:rPr>
        <w:t>Rashomon</w:t>
      </w:r>
      <w:r w:rsidRPr="002961B7">
        <w:rPr>
          <w:rFonts w:ascii="Verdana" w:eastAsia="Times New Roman" w:hAnsi="Verdana" w:cs="Times New Roman"/>
          <w:color w:val="595959"/>
          <w:sz w:val="17"/>
          <w:szCs w:val="17"/>
        </w:rPr>
        <w:t xml:space="preserve">. How do the story and the film portray the characters’ psychological states? (Note: Kurosawa’s </w:t>
      </w:r>
      <w:r w:rsidRPr="002961B7">
        <w:rPr>
          <w:rFonts w:ascii="Verdana" w:eastAsia="Times New Roman" w:hAnsi="Verdana" w:cs="Times New Roman"/>
          <w:i/>
          <w:iCs/>
          <w:color w:val="595959"/>
          <w:sz w:val="17"/>
          <w:szCs w:val="17"/>
        </w:rPr>
        <w:t>Rashomon</w:t>
      </w:r>
      <w:r w:rsidRPr="002961B7">
        <w:rPr>
          <w:rFonts w:ascii="Verdana" w:eastAsia="Times New Roman" w:hAnsi="Verdana" w:cs="Times New Roman"/>
          <w:color w:val="595959"/>
          <w:sz w:val="17"/>
          <w:szCs w:val="17"/>
        </w:rPr>
        <w:t xml:space="preserve"> is based on Akutagawa’s “In a Bamboo Grove,” not on his “Rashomon,” though a few details from the latter story appear in the film.) Write an essay using at least three pieces of textual evidence to support an original thesis statement. (RL.9-10.7, SL.9-10.1, W.9-10.2)</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How does fiction writer Ryunosuke Akutagawa or playwright Tsao Yu integrate Western literary influences into his work? Use textual evidence from the literary and informational texts to support an original thesis. Write an essay using at least three pieces of textual evidence to support your thesis statement. (RL.9-10.6, RL.9-10.9,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How are the novels from India </w:t>
      </w:r>
      <w:r w:rsidRPr="002961B7">
        <w:rPr>
          <w:rFonts w:ascii="Verdana" w:eastAsia="Times New Roman" w:hAnsi="Verdana" w:cs="Times New Roman"/>
          <w:i/>
          <w:iCs/>
          <w:color w:val="595959"/>
          <w:sz w:val="17"/>
          <w:szCs w:val="17"/>
        </w:rPr>
        <w:t>Midnight’s Children</w:t>
      </w:r>
      <w:r w:rsidRPr="002961B7">
        <w:rPr>
          <w:rFonts w:ascii="Verdana" w:eastAsia="Times New Roman" w:hAnsi="Verdana" w:cs="Times New Roman"/>
          <w:color w:val="595959"/>
          <w:sz w:val="17"/>
          <w:szCs w:val="17"/>
        </w:rPr>
        <w:t xml:space="preserve"> and </w:t>
      </w:r>
      <w:r w:rsidRPr="002961B7">
        <w:rPr>
          <w:rFonts w:ascii="Verdana" w:eastAsia="Times New Roman" w:hAnsi="Verdana" w:cs="Times New Roman"/>
          <w:i/>
          <w:iCs/>
          <w:color w:val="595959"/>
          <w:sz w:val="17"/>
          <w:szCs w:val="17"/>
        </w:rPr>
        <w:t>Nectar in a Sieve</w:t>
      </w:r>
      <w:r w:rsidRPr="002961B7">
        <w:rPr>
          <w:rFonts w:ascii="Verdana" w:eastAsia="Times New Roman" w:hAnsi="Verdana" w:cs="Times New Roman"/>
          <w:color w:val="595959"/>
          <w:sz w:val="17"/>
          <w:szCs w:val="17"/>
        </w:rPr>
        <w:t xml:space="preserve"> allegorical texts? What does the allegory reveal about the author’s point of view? Use evidence from reference texts </w:t>
      </w:r>
      <w:r w:rsidRPr="002961B7">
        <w:rPr>
          <w:rFonts w:ascii="Verdana" w:eastAsia="Times New Roman" w:hAnsi="Verdana" w:cs="Times New Roman"/>
          <w:i/>
          <w:iCs/>
          <w:color w:val="595959"/>
          <w:sz w:val="17"/>
          <w:szCs w:val="17"/>
        </w:rPr>
        <w:t xml:space="preserve">Trading Places: The East India Company and Asia, 1600–1834 </w:t>
      </w:r>
      <w:r w:rsidRPr="002961B7">
        <w:rPr>
          <w:rFonts w:ascii="Verdana" w:eastAsia="Times New Roman" w:hAnsi="Verdana" w:cs="Times New Roman"/>
          <w:color w:val="595959"/>
          <w:sz w:val="17"/>
          <w:szCs w:val="17"/>
        </w:rPr>
        <w:t xml:space="preserve">and </w:t>
      </w:r>
      <w:r w:rsidRPr="002961B7">
        <w:rPr>
          <w:rFonts w:ascii="Verdana" w:eastAsia="Times New Roman" w:hAnsi="Verdana" w:cs="Times New Roman"/>
          <w:i/>
          <w:iCs/>
          <w:color w:val="595959"/>
          <w:sz w:val="17"/>
          <w:szCs w:val="17"/>
        </w:rPr>
        <w:t xml:space="preserve">The Scandal of Empire: India and the creation of Imperial Britain. </w:t>
      </w:r>
      <w:r w:rsidRPr="002961B7">
        <w:rPr>
          <w:rFonts w:ascii="Verdana" w:eastAsia="Times New Roman" w:hAnsi="Verdana" w:cs="Times New Roman"/>
          <w:color w:val="595959"/>
          <w:sz w:val="17"/>
          <w:szCs w:val="17"/>
        </w:rPr>
        <w:t>Write an essay using at least three pieces of evidence from the novels and the reference texts to support an original thesis statement.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Compare and contrast </w:t>
      </w:r>
      <w:r w:rsidRPr="002961B7">
        <w:rPr>
          <w:rFonts w:ascii="Verdana" w:eastAsia="Times New Roman" w:hAnsi="Verdana" w:cs="Times New Roman"/>
          <w:i/>
          <w:iCs/>
          <w:color w:val="595959"/>
          <w:sz w:val="17"/>
          <w:szCs w:val="17"/>
        </w:rPr>
        <w:t>Midnight’s Children</w:t>
      </w:r>
      <w:r w:rsidRPr="002961B7">
        <w:rPr>
          <w:rFonts w:ascii="Verdana" w:eastAsia="Times New Roman" w:hAnsi="Verdana" w:cs="Times New Roman"/>
          <w:color w:val="595959"/>
          <w:sz w:val="17"/>
          <w:szCs w:val="17"/>
        </w:rPr>
        <w:t xml:space="preserve"> and </w:t>
      </w:r>
      <w:r w:rsidRPr="002961B7">
        <w:rPr>
          <w:rFonts w:ascii="Verdana" w:eastAsia="Times New Roman" w:hAnsi="Verdana" w:cs="Times New Roman"/>
          <w:i/>
          <w:iCs/>
          <w:color w:val="595959"/>
          <w:sz w:val="17"/>
          <w:szCs w:val="17"/>
        </w:rPr>
        <w:t>Nectar in a Sieve</w:t>
      </w:r>
      <w:r w:rsidRPr="002961B7">
        <w:rPr>
          <w:rFonts w:ascii="Verdana" w:eastAsia="Times New Roman" w:hAnsi="Verdana" w:cs="Times New Roman"/>
          <w:color w:val="595959"/>
          <w:sz w:val="17"/>
          <w:szCs w:val="17"/>
        </w:rPr>
        <w:t>. How do they differ in meaning? How are they similar in meaning? Write an essay using at least two pieces of textual evidence from each text to support an original thesis statement. (RL.9-10.6, RL.9-10.9,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What does Amal teach the other characters in Rabindranath Tagore’s </w:t>
      </w:r>
      <w:r w:rsidRPr="002961B7">
        <w:rPr>
          <w:rFonts w:ascii="Verdana" w:eastAsia="Times New Roman" w:hAnsi="Verdana" w:cs="Times New Roman"/>
          <w:i/>
          <w:iCs/>
          <w:color w:val="595959"/>
          <w:sz w:val="17"/>
          <w:szCs w:val="17"/>
        </w:rPr>
        <w:t>The Post Office</w:t>
      </w:r>
      <w:r w:rsidRPr="002961B7">
        <w:rPr>
          <w:rFonts w:ascii="Verdana" w:eastAsia="Times New Roman" w:hAnsi="Verdana" w:cs="Times New Roman"/>
          <w:color w:val="595959"/>
          <w:sz w:val="17"/>
          <w:szCs w:val="17"/>
        </w:rPr>
        <w:t>? Do these teachings reflect the values of Confucianism or Taoism? Write an essay using at least three pieces of textual evidence to support an original thesis. (RL.9-10.1, SL.9-10.1, W.9-10.2,W.9-10.9)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lastRenderedPageBreak/>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Does the poem “Spirit, Substance, Shadow” connect to the teachings of Lao Tzu or Confucius? What does the poem reveal about these two philosophies? Write an essay using at least three pieces of textual evidence from multiple sources to support an original thesis statement.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How do the works you have read so far in this unit honor or rebel against cultural tradition? Write an essay that supports an original thesis statement, using at least three pieces of textual evidence to describe the cultural traditions. (The teacher may choose to focus on one or two texts.) (RL.9-10.6,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How do Benjamin Hoff’s allegories reveal Asian teachings? Do the allegories accurately illustrate these teachings? Write an essay that uses textual evidence to support an original thesis statement. Use evidence from more than one text. (RL.9-10.6,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Seminar and 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w:t>
      </w:r>
      <w:r w:rsidRPr="002961B7">
        <w:rPr>
          <w:rFonts w:ascii="Verdana" w:eastAsia="Times New Roman" w:hAnsi="Verdana" w:cs="Times New Roman"/>
          <w:i/>
          <w:iCs/>
          <w:color w:val="595959"/>
          <w:sz w:val="17"/>
          <w:szCs w:val="17"/>
        </w:rPr>
        <w:t>This assignment is especially appropriate for bi-lingual students who understand both languages presented in the texts.)</w:t>
      </w:r>
      <w:r w:rsidRPr="002961B7">
        <w:rPr>
          <w:rFonts w:ascii="Verdana" w:eastAsia="Times New Roman" w:hAnsi="Verdana" w:cs="Times New Roman"/>
          <w:color w:val="595959"/>
          <w:sz w:val="17"/>
          <w:szCs w:val="17"/>
        </w:rPr>
        <w:t xml:space="preserve"> Read James Merrill’s poem “Lost in Translation” and discuss it in the context of the works of Asian literature that you have read in this unit. What skills does a good translator need? In translation, is meaning lost irrevocably to the reader? Write an essay that uses at least three pieces of textual evidence to support an original thesis. (RL.9-10.6,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Essay</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Write a close literary analysis of one of the poems in the unit, with attention to its form, figurative language, symbolism, and meaning. Be sure to include any historical context necessary. Use at least three pieces of textual evidence to support your analysis in an essay. (SL.9-10.1, W.9-10.2, W.9-10.9)</w:t>
      </w:r>
    </w:p>
    <w:p w:rsidR="002961B7" w:rsidRPr="002961B7" w:rsidRDefault="002961B7" w:rsidP="002961B7">
      <w:pPr>
        <w:spacing w:after="60" w:line="240" w:lineRule="atLeast"/>
        <w:textAlignment w:val="top"/>
        <w:outlineLvl w:val="4"/>
        <w:rPr>
          <w:rFonts w:ascii="Georgia" w:eastAsia="Times New Roman" w:hAnsi="Georgia" w:cs="Times New Roman"/>
          <w:b/>
          <w:bCs/>
          <w:color w:val="842A30"/>
          <w:sz w:val="21"/>
          <w:szCs w:val="21"/>
        </w:rPr>
      </w:pPr>
      <w:r w:rsidRPr="002961B7">
        <w:rPr>
          <w:rFonts w:ascii="Georgia" w:eastAsia="Times New Roman" w:hAnsi="Georgia" w:cs="Times New Roman"/>
          <w:b/>
          <w:bCs/>
          <w:color w:val="842A30"/>
          <w:sz w:val="21"/>
          <w:szCs w:val="21"/>
        </w:rPr>
        <w:t>Oral Presentation</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w:t>
      </w:r>
      <w:r w:rsidRPr="002961B7">
        <w:rPr>
          <w:rFonts w:ascii="Verdana" w:eastAsia="Times New Roman" w:hAnsi="Verdana" w:cs="Times New Roman"/>
          <w:i/>
          <w:iCs/>
          <w:color w:val="595959"/>
          <w:sz w:val="17"/>
          <w:szCs w:val="17"/>
        </w:rPr>
        <w:t>This assignment is especially appropriate for bi-lingual students who understand both languages presented in the texts.)</w:t>
      </w:r>
      <w:r w:rsidRPr="002961B7">
        <w:rPr>
          <w:rFonts w:ascii="Verdana" w:eastAsia="Times New Roman" w:hAnsi="Verdana" w:cs="Times New Roman"/>
          <w:color w:val="595959"/>
          <w:sz w:val="17"/>
          <w:szCs w:val="17"/>
        </w:rPr>
        <w:t xml:space="preserve"> Choose a recording of a poem from </w:t>
      </w:r>
      <w:r w:rsidRPr="002961B7">
        <w:rPr>
          <w:rFonts w:ascii="Verdana" w:eastAsia="Times New Roman" w:hAnsi="Verdana" w:cs="Times New Roman"/>
          <w:i/>
          <w:iCs/>
          <w:color w:val="595959"/>
          <w:sz w:val="17"/>
          <w:szCs w:val="17"/>
        </w:rPr>
        <w:t xml:space="preserve">Chinese Poems of the Tang and Sung Dynasties, </w:t>
      </w:r>
      <w:r w:rsidRPr="002961B7">
        <w:rPr>
          <w:rFonts w:ascii="Verdana" w:eastAsia="Times New Roman" w:hAnsi="Verdana" w:cs="Times New Roman"/>
          <w:color w:val="595959"/>
          <w:sz w:val="17"/>
          <w:szCs w:val="17"/>
        </w:rPr>
        <w:t>or find a different recording. Play the recording and explain the literary structure of the poem. Present two translations of the poem and compare the choices the translators have made. (RL.9-10.5)</w:t>
      </w:r>
    </w:p>
    <w:p w:rsidR="002961B7" w:rsidRPr="002961B7" w:rsidRDefault="002961B7" w:rsidP="002961B7">
      <w:pPr>
        <w:shd w:val="clear" w:color="auto" w:fill="EFF3F4"/>
        <w:spacing w:line="255" w:lineRule="atLeast"/>
        <w:textAlignment w:val="top"/>
        <w:rPr>
          <w:rFonts w:ascii="Verdana" w:eastAsia="Times New Roman" w:hAnsi="Verdana" w:cs="Times New Roman"/>
          <w:color w:val="595959"/>
          <w:sz w:val="17"/>
          <w:szCs w:val="17"/>
        </w:rPr>
      </w:pPr>
      <w:hyperlink r:id="rId31" w:history="1">
        <w:r w:rsidRPr="002961B7">
          <w:rPr>
            <w:rFonts w:ascii="Verdana" w:eastAsia="Times New Roman" w:hAnsi="Verdana" w:cs="Times New Roman"/>
            <w:color w:val="000000"/>
            <w:sz w:val="17"/>
            <w:szCs w:val="17"/>
            <w:u w:val="single"/>
          </w:rPr>
          <w:t>Scoring Rubric</w:t>
        </w:r>
      </w:hyperlink>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33"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34"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Additional Resources</w:t>
      </w:r>
    </w:p>
    <w:p w:rsidR="002961B7" w:rsidRPr="002961B7" w:rsidRDefault="002961B7" w:rsidP="002961B7">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5" w:history="1">
        <w:r w:rsidRPr="002961B7">
          <w:rPr>
            <w:rFonts w:ascii="Verdana" w:eastAsia="Times New Roman" w:hAnsi="Verdana" w:cs="Times New Roman"/>
            <w:color w:val="000000"/>
            <w:sz w:val="17"/>
            <w:szCs w:val="17"/>
            <w:u w:val="single"/>
          </w:rPr>
          <w:t>Lessons of the Indian Epics: The Ramayana</w:t>
        </w:r>
      </w:hyperlink>
      <w:r w:rsidRPr="002961B7">
        <w:rPr>
          <w:rFonts w:ascii="Verdana" w:eastAsia="Times New Roman" w:hAnsi="Verdana" w:cs="Times New Roman"/>
          <w:color w:val="595959"/>
          <w:sz w:val="17"/>
          <w:szCs w:val="17"/>
        </w:rPr>
        <w:t xml:space="preserve"> (National Endowment for the Humanities) (RL.9-10.3)</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This series of lessons examines the </w:t>
      </w:r>
      <w:r w:rsidRPr="002961B7">
        <w:rPr>
          <w:rFonts w:ascii="Verdana" w:eastAsia="Times New Roman" w:hAnsi="Verdana" w:cs="Times New Roman"/>
          <w:i/>
          <w:iCs/>
          <w:color w:val="595959"/>
          <w:sz w:val="17"/>
          <w:szCs w:val="17"/>
        </w:rPr>
        <w:t>Ramayana</w:t>
      </w:r>
      <w:r w:rsidRPr="002961B7">
        <w:rPr>
          <w:rFonts w:ascii="Verdana" w:eastAsia="Times New Roman" w:hAnsi="Verdana" w:cs="Times New Roman"/>
          <w:color w:val="595959"/>
          <w:sz w:val="17"/>
          <w:szCs w:val="17"/>
        </w:rPr>
        <w:t xml:space="preserve"> as an epic poem that offers moral lessons through the examples of its characters.</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hyperlink r:id="rId36" w:history="1">
        <w:r w:rsidRPr="002961B7">
          <w:rPr>
            <w:rFonts w:ascii="Verdana" w:eastAsia="Times New Roman" w:hAnsi="Verdana" w:cs="Times New Roman"/>
            <w:color w:val="000000"/>
            <w:sz w:val="17"/>
            <w:szCs w:val="17"/>
            <w:u w:val="single"/>
          </w:rPr>
          <w:t xml:space="preserve">Being in the </w:t>
        </w:r>
        <w:r w:rsidRPr="002961B7">
          <w:rPr>
            <w:rFonts w:ascii="Verdana" w:eastAsia="Times New Roman" w:hAnsi="Verdana" w:cs="Times New Roman"/>
            <w:i/>
            <w:iCs/>
            <w:color w:val="000000"/>
            <w:sz w:val="17"/>
            <w:szCs w:val="17"/>
            <w:u w:val="single"/>
          </w:rPr>
          <w:t>Noh</w:t>
        </w:r>
        <w:r w:rsidRPr="002961B7">
          <w:rPr>
            <w:rFonts w:ascii="Verdana" w:eastAsia="Times New Roman" w:hAnsi="Verdana" w:cs="Times New Roman"/>
            <w:color w:val="000000"/>
            <w:sz w:val="17"/>
            <w:szCs w:val="17"/>
            <w:u w:val="single"/>
          </w:rPr>
          <w:t xml:space="preserve">: An Introduction to Two Japanese </w:t>
        </w:r>
        <w:r w:rsidRPr="002961B7">
          <w:rPr>
            <w:rFonts w:ascii="Verdana" w:eastAsia="Times New Roman" w:hAnsi="Verdana" w:cs="Times New Roman"/>
            <w:i/>
            <w:iCs/>
            <w:color w:val="000000"/>
            <w:sz w:val="17"/>
            <w:szCs w:val="17"/>
            <w:u w:val="single"/>
          </w:rPr>
          <w:t>Noh</w:t>
        </w:r>
        <w:r w:rsidRPr="002961B7">
          <w:rPr>
            <w:rFonts w:ascii="Verdana" w:eastAsia="Times New Roman" w:hAnsi="Verdana" w:cs="Times New Roman"/>
            <w:color w:val="000000"/>
            <w:sz w:val="17"/>
            <w:szCs w:val="17"/>
            <w:u w:val="single"/>
          </w:rPr>
          <w:t xml:space="preserve"> Plays</w:t>
        </w:r>
      </w:hyperlink>
      <w:r w:rsidRPr="002961B7">
        <w:rPr>
          <w:rFonts w:ascii="Verdana" w:eastAsia="Times New Roman" w:hAnsi="Verdana" w:cs="Times New Roman"/>
          <w:color w:val="595959"/>
          <w:sz w:val="17"/>
          <w:szCs w:val="17"/>
        </w:rPr>
        <w:t xml:space="preserve"> (National Endowment for the Humanities) (RL.9-10.6)</w:t>
      </w:r>
    </w:p>
    <w:p w:rsidR="002961B7" w:rsidRPr="002961B7" w:rsidRDefault="002961B7" w:rsidP="002961B7">
      <w:pPr>
        <w:spacing w:after="120" w:line="255" w:lineRule="atLeast"/>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 xml:space="preserve">This lesson provides an introduction to the elements of </w:t>
      </w:r>
      <w:r w:rsidRPr="002961B7">
        <w:rPr>
          <w:rFonts w:ascii="Verdana" w:eastAsia="Times New Roman" w:hAnsi="Verdana" w:cs="Times New Roman"/>
          <w:i/>
          <w:iCs/>
          <w:color w:val="595959"/>
          <w:sz w:val="17"/>
          <w:szCs w:val="17"/>
        </w:rPr>
        <w:t xml:space="preserve">Noh </w:t>
      </w:r>
      <w:r w:rsidRPr="002961B7">
        <w:rPr>
          <w:rFonts w:ascii="Verdana" w:eastAsia="Times New Roman" w:hAnsi="Verdana" w:cs="Times New Roman"/>
          <w:color w:val="595959"/>
          <w:sz w:val="17"/>
          <w:szCs w:val="17"/>
        </w:rPr>
        <w:t xml:space="preserve">plays. Using the text of two plays, it allows students to compare the conventions of the </w:t>
      </w:r>
      <w:r w:rsidRPr="002961B7">
        <w:rPr>
          <w:rFonts w:ascii="Verdana" w:eastAsia="Times New Roman" w:hAnsi="Verdana" w:cs="Times New Roman"/>
          <w:i/>
          <w:iCs/>
          <w:color w:val="595959"/>
          <w:sz w:val="17"/>
          <w:szCs w:val="17"/>
        </w:rPr>
        <w:t>Noh</w:t>
      </w:r>
      <w:r w:rsidRPr="002961B7">
        <w:rPr>
          <w:rFonts w:ascii="Verdana" w:eastAsia="Times New Roman" w:hAnsi="Verdana" w:cs="Times New Roman"/>
          <w:color w:val="595959"/>
          <w:sz w:val="17"/>
          <w:szCs w:val="17"/>
        </w:rPr>
        <w:t xml:space="preserve"> play with other dramatic forms with which they may already be familiar, such as the Ancient Greek dramas of Sophocles. By reading classic examples of </w:t>
      </w:r>
      <w:r w:rsidRPr="002961B7">
        <w:rPr>
          <w:rFonts w:ascii="Verdana" w:eastAsia="Times New Roman" w:hAnsi="Verdana" w:cs="Times New Roman"/>
          <w:i/>
          <w:iCs/>
          <w:color w:val="595959"/>
          <w:sz w:val="17"/>
          <w:szCs w:val="17"/>
        </w:rPr>
        <w:t>Noh</w:t>
      </w:r>
      <w:r w:rsidRPr="002961B7">
        <w:rPr>
          <w:rFonts w:ascii="Verdana" w:eastAsia="Times New Roman" w:hAnsi="Verdana" w:cs="Times New Roman"/>
          <w:color w:val="595959"/>
          <w:sz w:val="17"/>
          <w:szCs w:val="17"/>
        </w:rPr>
        <w:t xml:space="preserve"> plays, such as </w:t>
      </w:r>
      <w:r w:rsidRPr="002961B7">
        <w:rPr>
          <w:rFonts w:ascii="Verdana" w:eastAsia="Times New Roman" w:hAnsi="Verdana" w:cs="Times New Roman"/>
          <w:i/>
          <w:iCs/>
          <w:color w:val="595959"/>
          <w:sz w:val="17"/>
          <w:szCs w:val="17"/>
        </w:rPr>
        <w:t>Atsumori</w:t>
      </w:r>
      <w:r w:rsidRPr="002961B7">
        <w:rPr>
          <w:rFonts w:ascii="Verdana" w:eastAsia="Times New Roman" w:hAnsi="Verdana" w:cs="Times New Roman"/>
          <w:color w:val="595959"/>
          <w:sz w:val="17"/>
          <w:szCs w:val="17"/>
        </w:rPr>
        <w:t xml:space="preserve">, students will learn to identify the structure, characters, style, and stories typical to this form of drama. Students will expand their grasp of these conventions by using them to write the introduction to a </w:t>
      </w:r>
      <w:r w:rsidRPr="002961B7">
        <w:rPr>
          <w:rFonts w:ascii="Verdana" w:eastAsia="Times New Roman" w:hAnsi="Verdana" w:cs="Times New Roman"/>
          <w:i/>
          <w:iCs/>
          <w:color w:val="595959"/>
          <w:sz w:val="17"/>
          <w:szCs w:val="17"/>
        </w:rPr>
        <w:t xml:space="preserve">Noh </w:t>
      </w:r>
      <w:r w:rsidRPr="002961B7">
        <w:rPr>
          <w:rFonts w:ascii="Verdana" w:eastAsia="Times New Roman" w:hAnsi="Verdana" w:cs="Times New Roman"/>
          <w:color w:val="595959"/>
          <w:sz w:val="17"/>
          <w:szCs w:val="17"/>
        </w:rPr>
        <w:t>play of their own.</w:t>
      </w: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2961B7">
          <w:rPr>
            <w:rFonts w:ascii="Verdana" w:eastAsia="Times New Roman" w:hAnsi="Verdana" w:cs="Times New Roman"/>
            <w:color w:val="000000"/>
            <w:sz w:val="17"/>
            <w:szCs w:val="17"/>
          </w:rPr>
          <w:t>Show All</w:t>
        </w:r>
      </w:hyperlink>
      <w:r w:rsidRPr="002961B7">
        <w:rPr>
          <w:rFonts w:ascii="Verdana" w:eastAsia="Times New Roman" w:hAnsi="Verdana" w:cs="Times New Roman"/>
          <w:color w:val="867F69"/>
          <w:sz w:val="17"/>
          <w:szCs w:val="17"/>
        </w:rPr>
        <w:t xml:space="preserve"> | </w:t>
      </w:r>
      <w:hyperlink r:id="rId38" w:history="1">
        <w:r w:rsidRPr="002961B7">
          <w:rPr>
            <w:rFonts w:ascii="Verdana" w:eastAsia="Times New Roman" w:hAnsi="Verdana" w:cs="Times New Roman"/>
            <w:color w:val="000000"/>
            <w:sz w:val="17"/>
            <w:szCs w:val="17"/>
          </w:rPr>
          <w:t>Hide All</w:t>
        </w:r>
      </w:hyperlink>
      <w:r w:rsidRPr="002961B7">
        <w:rPr>
          <w:rFonts w:ascii="Verdana" w:eastAsia="Times New Roman" w:hAnsi="Verdana" w:cs="Times New Roman"/>
          <w:color w:val="867F69"/>
          <w:sz w:val="17"/>
          <w:szCs w:val="17"/>
        </w:rPr>
        <w:t xml:space="preserve"> | </w:t>
      </w:r>
      <w:hyperlink r:id="rId39" w:anchor="top" w:history="1">
        <w:r w:rsidRPr="002961B7">
          <w:rPr>
            <w:rFonts w:ascii="Verdana" w:eastAsia="Times New Roman" w:hAnsi="Verdana" w:cs="Times New Roman"/>
            <w:color w:val="000000"/>
            <w:sz w:val="17"/>
            <w:szCs w:val="17"/>
          </w:rPr>
          <w:t>Top</w:t>
        </w:r>
      </w:hyperlink>
      <w:r w:rsidRPr="002961B7">
        <w:rPr>
          <w:rFonts w:ascii="Georgia" w:eastAsia="Times New Roman" w:hAnsi="Georgia" w:cs="Times New Roman"/>
          <w:color w:val="595959"/>
          <w:sz w:val="21"/>
          <w:szCs w:val="21"/>
        </w:rPr>
        <w:t xml:space="preserve"> </w:t>
      </w:r>
    </w:p>
    <w:p w:rsidR="002961B7" w:rsidRPr="002961B7" w:rsidRDefault="002961B7" w:rsidP="002961B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61B7">
        <w:rPr>
          <w:rFonts w:ascii="Georgia" w:eastAsia="Times New Roman" w:hAnsi="Georgia" w:cs="Times New Roman"/>
          <w:b/>
          <w:bCs/>
          <w:caps/>
          <w:color w:val="FFFFFF"/>
          <w:spacing w:val="15"/>
          <w:sz w:val="26"/>
          <w:szCs w:val="26"/>
        </w:rPr>
        <w:t>Terminology</w:t>
      </w:r>
    </w:p>
    <w:p w:rsidR="002961B7" w:rsidRPr="002961B7" w:rsidRDefault="002961B7" w:rsidP="002961B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absurd</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allegory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Confucianism</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figurative language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filial piety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first person perspective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foreshadowing</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internal monologue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irony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metaphor</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morality</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paradox</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perfect rhyme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perspective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poetic translation</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simile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stream of consciousness</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symbol</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Taoism</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theme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third person omniscience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tone (Chinese)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vice</w:t>
      </w:r>
    </w:p>
    <w:p w:rsidR="002961B7" w:rsidRPr="002961B7" w:rsidRDefault="002961B7" w:rsidP="002961B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61B7">
        <w:rPr>
          <w:rFonts w:ascii="Verdana" w:eastAsia="Times New Roman" w:hAnsi="Verdana" w:cs="Times New Roman"/>
          <w:color w:val="595959"/>
          <w:sz w:val="17"/>
          <w:szCs w:val="17"/>
        </w:rPr>
        <w:t>virtue</w:t>
      </w: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61B7" w:rsidRPr="002961B7" w:rsidRDefault="002961B7" w:rsidP="002961B7">
      <w:pPr>
        <w:spacing w:after="0" w:line="180" w:lineRule="atLeast"/>
        <w:rPr>
          <w:rFonts w:ascii="Verdana" w:eastAsia="Times New Roman" w:hAnsi="Verdana" w:cs="Times New Roman"/>
          <w:color w:val="595959"/>
          <w:sz w:val="18"/>
          <w:szCs w:val="18"/>
        </w:rPr>
      </w:pPr>
      <w:hyperlink r:id="rId40" w:history="1">
        <w:r w:rsidRPr="002961B7">
          <w:rPr>
            <w:rFonts w:ascii="Verdana" w:eastAsia="Times New Roman" w:hAnsi="Verdana" w:cs="Times New Roman"/>
            <w:color w:val="595959"/>
            <w:sz w:val="18"/>
            <w:szCs w:val="18"/>
          </w:rPr>
          <w:t>Previous</w:t>
        </w:r>
      </w:hyperlink>
      <w:r w:rsidRPr="002961B7">
        <w:rPr>
          <w:rFonts w:ascii="Verdana" w:eastAsia="Times New Roman" w:hAnsi="Verdana" w:cs="Times New Roman"/>
          <w:color w:val="595959"/>
          <w:sz w:val="18"/>
          <w:szCs w:val="18"/>
        </w:rPr>
        <w:t xml:space="preserve"> </w:t>
      </w:r>
      <w:hyperlink r:id="rId41" w:history="1">
        <w:r w:rsidRPr="002961B7">
          <w:rPr>
            <w:rFonts w:ascii="Verdana" w:eastAsia="Times New Roman" w:hAnsi="Verdana" w:cs="Times New Roman"/>
            <w:color w:val="595959"/>
            <w:sz w:val="18"/>
            <w:szCs w:val="18"/>
          </w:rPr>
          <w:t>Next</w:t>
        </w:r>
      </w:hyperlink>
      <w:r w:rsidRPr="002961B7">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065A"/>
    <w:multiLevelType w:val="multilevel"/>
    <w:tmpl w:val="C166E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B7"/>
    <w:rsid w:val="00005EC0"/>
    <w:rsid w:val="0029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2011827076">
          <w:marLeft w:val="0"/>
          <w:marRight w:val="0"/>
          <w:marTop w:val="0"/>
          <w:marBottom w:val="0"/>
          <w:divBdr>
            <w:top w:val="none" w:sz="0" w:space="0" w:color="auto"/>
            <w:left w:val="none" w:sz="0" w:space="0" w:color="auto"/>
            <w:bottom w:val="none" w:sz="0" w:space="0" w:color="auto"/>
            <w:right w:val="none" w:sz="0" w:space="0" w:color="auto"/>
          </w:divBdr>
          <w:divsChild>
            <w:div w:id="56169306">
              <w:marLeft w:val="0"/>
              <w:marRight w:val="0"/>
              <w:marTop w:val="0"/>
              <w:marBottom w:val="0"/>
              <w:divBdr>
                <w:top w:val="none" w:sz="0" w:space="0" w:color="auto"/>
                <w:left w:val="none" w:sz="0" w:space="0" w:color="auto"/>
                <w:bottom w:val="none" w:sz="0" w:space="0" w:color="auto"/>
                <w:right w:val="none" w:sz="0" w:space="0" w:color="auto"/>
              </w:divBdr>
              <w:divsChild>
                <w:div w:id="354306053">
                  <w:marLeft w:val="0"/>
                  <w:marRight w:val="0"/>
                  <w:marTop w:val="0"/>
                  <w:marBottom w:val="0"/>
                  <w:divBdr>
                    <w:top w:val="none" w:sz="0" w:space="0" w:color="auto"/>
                    <w:left w:val="none" w:sz="0" w:space="0" w:color="auto"/>
                    <w:bottom w:val="none" w:sz="0" w:space="0" w:color="auto"/>
                    <w:right w:val="none" w:sz="0" w:space="0" w:color="auto"/>
                  </w:divBdr>
                  <w:divsChild>
                    <w:div w:id="466163968">
                      <w:marLeft w:val="3180"/>
                      <w:marRight w:val="0"/>
                      <w:marTop w:val="0"/>
                      <w:marBottom w:val="0"/>
                      <w:divBdr>
                        <w:top w:val="none" w:sz="0" w:space="0" w:color="auto"/>
                        <w:left w:val="none" w:sz="0" w:space="0" w:color="auto"/>
                        <w:bottom w:val="none" w:sz="0" w:space="0" w:color="auto"/>
                        <w:right w:val="none" w:sz="0" w:space="0" w:color="auto"/>
                      </w:divBdr>
                      <w:divsChild>
                        <w:div w:id="1788625770">
                          <w:marLeft w:val="0"/>
                          <w:marRight w:val="0"/>
                          <w:marTop w:val="0"/>
                          <w:marBottom w:val="210"/>
                          <w:divBdr>
                            <w:top w:val="single" w:sz="6" w:space="0" w:color="DCD6C6"/>
                            <w:left w:val="single" w:sz="6" w:space="7" w:color="DCD6C6"/>
                            <w:bottom w:val="single" w:sz="6" w:space="0" w:color="DCD6C6"/>
                            <w:right w:val="single" w:sz="6" w:space="4" w:color="DCD6C6"/>
                          </w:divBdr>
                        </w:div>
                        <w:div w:id="1423070573">
                          <w:marLeft w:val="0"/>
                          <w:marRight w:val="0"/>
                          <w:marTop w:val="225"/>
                          <w:marBottom w:val="210"/>
                          <w:divBdr>
                            <w:top w:val="none" w:sz="0" w:space="0" w:color="auto"/>
                            <w:left w:val="none" w:sz="0" w:space="0" w:color="auto"/>
                            <w:bottom w:val="none" w:sz="0" w:space="0" w:color="auto"/>
                            <w:right w:val="none" w:sz="0" w:space="0" w:color="auto"/>
                          </w:divBdr>
                        </w:div>
                        <w:div w:id="1564680953">
                          <w:marLeft w:val="0"/>
                          <w:marRight w:val="0"/>
                          <w:marTop w:val="0"/>
                          <w:marBottom w:val="210"/>
                          <w:divBdr>
                            <w:top w:val="single" w:sz="6" w:space="0" w:color="DCD6C6"/>
                            <w:left w:val="single" w:sz="6" w:space="7" w:color="DCD6C6"/>
                            <w:bottom w:val="single" w:sz="6" w:space="0" w:color="DCD6C6"/>
                            <w:right w:val="single" w:sz="6" w:space="4" w:color="DCD6C6"/>
                          </w:divBdr>
                        </w:div>
                        <w:div w:id="997542367">
                          <w:marLeft w:val="0"/>
                          <w:marRight w:val="0"/>
                          <w:marTop w:val="225"/>
                          <w:marBottom w:val="210"/>
                          <w:divBdr>
                            <w:top w:val="none" w:sz="0" w:space="0" w:color="auto"/>
                            <w:left w:val="none" w:sz="0" w:space="0" w:color="auto"/>
                            <w:bottom w:val="none" w:sz="0" w:space="0" w:color="auto"/>
                            <w:right w:val="none" w:sz="0" w:space="0" w:color="auto"/>
                          </w:divBdr>
                        </w:div>
                        <w:div w:id="15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0_unit_2/" TargetMode="External"/><Relationship Id="rId13" Type="http://schemas.openxmlformats.org/officeDocument/2006/relationships/hyperlink" Target="http://commoncore.org/free/index.php/maps/grade_10_unit_2/" TargetMode="External"/><Relationship Id="rId18" Type="http://schemas.openxmlformats.org/officeDocument/2006/relationships/hyperlink" Target="http://commoncore.org/free/index.php/maps/grade_10_unit_2/" TargetMode="External"/><Relationship Id="rId26" Type="http://schemas.openxmlformats.org/officeDocument/2006/relationships/hyperlink" Target="http://www.metmuseum.org/toah/works-of-art/1996.3ab" TargetMode="External"/><Relationship Id="rId39" Type="http://schemas.openxmlformats.org/officeDocument/2006/relationships/hyperlink" Target="http://commoncore.org/free/index.php/maps/grade_10_unit_2/" TargetMode="External"/><Relationship Id="rId3" Type="http://schemas.microsoft.com/office/2007/relationships/stylesWithEffects" Target="stylesWithEffects.xml"/><Relationship Id="rId21" Type="http://schemas.openxmlformats.org/officeDocument/2006/relationships/hyperlink" Target="http://www.metmuseum.org/toah/works-of-art/2006.73.2" TargetMode="External"/><Relationship Id="rId34" Type="http://schemas.openxmlformats.org/officeDocument/2006/relationships/hyperlink" Target="http://commoncore.org/free/index.php/maps/grade_10_unit_2/" TargetMode="External"/><Relationship Id="rId42" Type="http://schemas.openxmlformats.org/officeDocument/2006/relationships/fontTable" Target="fontTable.xml"/><Relationship Id="rId7" Type="http://schemas.openxmlformats.org/officeDocument/2006/relationships/hyperlink" Target="http://commoncore.org/free/index.php/maps/grade_10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0_unit_2/" TargetMode="External"/><Relationship Id="rId25" Type="http://schemas.openxmlformats.org/officeDocument/2006/relationships/hyperlink" Target="http://en.wikipedia.org/wiki/File:Indischer_Maler_um_1650_(I)_001.jpg" TargetMode="External"/><Relationship Id="rId33" Type="http://schemas.openxmlformats.org/officeDocument/2006/relationships/hyperlink" Target="http://commoncore.org/free/index.php/maps/grade_10_unit_2/" TargetMode="External"/><Relationship Id="rId38" Type="http://schemas.openxmlformats.org/officeDocument/2006/relationships/hyperlink" Target="http://commoncore.org/free/index.php/maps/grade_10_unit_2/" TargetMode="External"/><Relationship Id="rId2" Type="http://schemas.openxmlformats.org/officeDocument/2006/relationships/styles" Target="styles.xml"/><Relationship Id="rId16" Type="http://schemas.openxmlformats.org/officeDocument/2006/relationships/hyperlink" Target="http://commoncore.org/free/index.php/maps/grade_10_unit_2/" TargetMode="External"/><Relationship Id="rId20" Type="http://schemas.openxmlformats.org/officeDocument/2006/relationships/hyperlink" Target="http://www.britishmuseum.org/explore/highlights/highlight_image.aspx?image=ps339597.jpg&amp;retpage=16828" TargetMode="External"/><Relationship Id="rId29" Type="http://schemas.openxmlformats.org/officeDocument/2006/relationships/hyperlink" Target="http://commoncore.org/free/index.php/maps/grade_10_unit_2/" TargetMode="External"/><Relationship Id="rId41" Type="http://schemas.openxmlformats.org/officeDocument/2006/relationships/hyperlink" Target="http://commoncore.org/free/index.php/maps/grade_10_unit_3/" TargetMode="External"/><Relationship Id="rId1" Type="http://schemas.openxmlformats.org/officeDocument/2006/relationships/numbering" Target="numbering.xml"/><Relationship Id="rId6" Type="http://schemas.openxmlformats.org/officeDocument/2006/relationships/hyperlink" Target="http://commoncore.org/free/index.php/maps/grade_10_unit_2/" TargetMode="External"/><Relationship Id="rId11" Type="http://schemas.openxmlformats.org/officeDocument/2006/relationships/hyperlink" Target="http://commoncore.org/free/index.php/maps/grade_10_unit_2/" TargetMode="External"/><Relationship Id="rId24" Type="http://schemas.openxmlformats.org/officeDocument/2006/relationships/hyperlink" Target="http://www.cultural-china.com/chinaWH/images/exbig_images/b26cda66c221adfd80f37804dd82997e.jpg" TargetMode="External"/><Relationship Id="rId32" Type="http://schemas.openxmlformats.org/officeDocument/2006/relationships/hyperlink" Target="http://commoncore.org/free/index.php/maps/grade_10_unit_2/" TargetMode="External"/><Relationship Id="rId37" Type="http://schemas.openxmlformats.org/officeDocument/2006/relationships/hyperlink" Target="http://commoncore.org/free/index.php/maps/grade_10_unit_2/" TargetMode="External"/><Relationship Id="rId40" Type="http://schemas.openxmlformats.org/officeDocument/2006/relationships/hyperlink" Target="http://commoncore.org/free/index.php/maps/grade_10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10_unit_2/" TargetMode="External"/><Relationship Id="rId23" Type="http://schemas.openxmlformats.org/officeDocument/2006/relationships/hyperlink" Target="http://www.britishmuseum.org/explore/galleries/asia/room_95_chinese_ceramics.aspx" TargetMode="External"/><Relationship Id="rId28" Type="http://schemas.openxmlformats.org/officeDocument/2006/relationships/hyperlink" Target="http://commoncore.org/free/index.php/maps/grade_10_unit_2/" TargetMode="External"/><Relationship Id="rId36" Type="http://schemas.openxmlformats.org/officeDocument/2006/relationships/hyperlink" Target="http://edsitement.neh.gov/view_lesson_plan.asp?id=628" TargetMode="External"/><Relationship Id="rId10" Type="http://schemas.openxmlformats.org/officeDocument/2006/relationships/hyperlink" Target="http://commoncore.org/free/index.php/maps/grade_10_unit_2/" TargetMode="External"/><Relationship Id="rId19" Type="http://schemas.openxmlformats.org/officeDocument/2006/relationships/hyperlink" Target="http://www.brooklynmuseum.org/exhibitions/online/edo/" TargetMode="External"/><Relationship Id="rId31" Type="http://schemas.openxmlformats.org/officeDocument/2006/relationships/hyperlink" Target="http://commoncore.org/free/resources/Socratic_Seminar_Rubric_SP.doc" TargetMode="External"/><Relationship Id="rId4" Type="http://schemas.openxmlformats.org/officeDocument/2006/relationships/settings" Target="settings.xml"/><Relationship Id="rId9" Type="http://schemas.openxmlformats.org/officeDocument/2006/relationships/hyperlink" Target="http://commoncore.org/free/index.php/maps/grade_10_unit_2/" TargetMode="External"/><Relationship Id="rId14" Type="http://schemas.openxmlformats.org/officeDocument/2006/relationships/hyperlink" Target="http://commoncore.org/free/index.php/maps/grade_10_unit_2/" TargetMode="External"/><Relationship Id="rId22" Type="http://schemas.openxmlformats.org/officeDocument/2006/relationships/hyperlink" Target="http://en.wikipedia.org/wiki/File:Ma_Lin_001.jpg" TargetMode="External"/><Relationship Id="rId27" Type="http://schemas.openxmlformats.org/officeDocument/2006/relationships/hyperlink" Target="http://en.wikipedia.org/wiki/File:Ravi_Varma-Princess_Damayanthi_talking_with_Royal_Swan_about_Nalan.jpg" TargetMode="External"/><Relationship Id="rId30" Type="http://schemas.openxmlformats.org/officeDocument/2006/relationships/hyperlink" Target="http://commoncore.org/free/index.php/maps/grade_10_unit_2/" TargetMode="External"/><Relationship Id="rId35" Type="http://schemas.openxmlformats.org/officeDocument/2006/relationships/hyperlink" Target="http://edsitement.neh.gov/view_lesson_plan.asp?id=60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14114</Characters>
  <Application>Microsoft Office Word</Application>
  <DocSecurity>0</DocSecurity>
  <Lines>117</Lines>
  <Paragraphs>33</Paragraphs>
  <ScaleCrop>false</ScaleCrop>
  <Company>CGRESD</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2011-10-13T13:24:00Z</dcterms:created>
  <dcterms:modified xsi:type="dcterms:W3CDTF">2011-10-13T13:24:00Z</dcterms:modified>
</cp:coreProperties>
</file>